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901"/>
        <w:pBdr/>
        <w:spacing w:after="100" w:afterAutospacing="1" w:before="100" w:beforeAutospacing="1" w:line="240" w:lineRule="auto"/>
        <w:ind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Правила проведения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стимулирующего мероприятия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</w:p>
    <w:p>
      <w:pPr>
        <w:pStyle w:val="901"/>
        <w:pBdr/>
        <w:spacing w:after="100" w:afterAutospacing="1" w:before="100" w:beforeAutospacing="1" w:line="240" w:lineRule="auto"/>
        <w:ind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ЖАРКИЙ ДВИЖ»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firstLine="426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1.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Общие положения.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</w:p>
    <w:p>
      <w:pPr>
        <w:pStyle w:val="901"/>
        <w:pBdr/>
        <w:spacing w:after="100" w:afterAutospacing="1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1.1.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Стимулирующее мероприятие под названием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ЖАРКИЙ ДВИЖ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»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(далее – «Стимулирующее мероприятие») проводиться с целью</w:t>
      </w:r>
      <w:r>
        <w:rPr>
          <w:rFonts w:ascii="Times New Roman" w:hAnsi="Times New Roman"/>
          <w:sz w:val="24"/>
          <w:szCs w:val="24"/>
        </w:rPr>
        <w:t xml:space="preserve"> привлечения клиентов и увеличения объема про</w:t>
      </w:r>
      <w:r>
        <w:rPr>
          <w:rFonts w:ascii="Times New Roman" w:hAnsi="Times New Roman"/>
          <w:sz w:val="24"/>
          <w:szCs w:val="24"/>
        </w:rPr>
        <w:t xml:space="preserve">даж товара в </w:t>
      </w:r>
      <w:r>
        <w:rPr>
          <w:rFonts w:ascii="Times New Roman" w:hAnsi="Times New Roman"/>
          <w:sz w:val="24"/>
          <w:szCs w:val="24"/>
        </w:rPr>
        <w:t xml:space="preserve">супермаркетах «</w:t>
      </w:r>
      <w:r>
        <w:rPr>
          <w:rFonts w:ascii="Times New Roman" w:hAnsi="Times New Roman"/>
          <w:sz w:val="24"/>
          <w:szCs w:val="24"/>
        </w:rPr>
        <w:t xml:space="preserve">Кэш</w:t>
      </w:r>
      <w:r>
        <w:rPr>
          <w:rFonts w:ascii="Times New Roman" w:hAnsi="Times New Roman"/>
          <w:sz w:val="24"/>
          <w:szCs w:val="24"/>
        </w:rPr>
        <w:t xml:space="preserve">&amp;</w:t>
      </w:r>
      <w:r>
        <w:rPr>
          <w:rFonts w:ascii="Times New Roman" w:hAnsi="Times New Roman"/>
          <w:sz w:val="24"/>
          <w:szCs w:val="24"/>
        </w:rPr>
        <w:t xml:space="preserve">Кэрри</w:t>
      </w: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</w:rPr>
        <w:t xml:space="preserve"> в г. </w:t>
      </w:r>
      <w:r>
        <w:rPr>
          <w:rFonts w:ascii="Times New Roman" w:hAnsi="Times New Roman"/>
          <w:sz w:val="24"/>
          <w:szCs w:val="24"/>
        </w:rPr>
        <w:t xml:space="preserve">Благовещенск</w:t>
      </w:r>
      <w:r>
        <w:rPr>
          <w:rFonts w:ascii="Times New Roman" w:hAnsi="Times New Roman"/>
          <w:sz w:val="24"/>
          <w:szCs w:val="24"/>
        </w:rPr>
        <w:t xml:space="preserve"> Амурской области. </w:t>
      </w:r>
      <w:r>
        <w:rPr>
          <w:rFonts w:ascii="Times New Roman" w:hAnsi="Times New Roman"/>
          <w:sz w:val="24"/>
          <w:szCs w:val="24"/>
        </w:rPr>
        <w:t xml:space="preserve">1</w:t>
      </w:r>
      <w:r>
        <w:rPr>
          <w:rFonts w:ascii="Times New Roman" w:hAnsi="Times New Roman"/>
          <w:sz w:val="24"/>
          <w:szCs w:val="24"/>
        </w:rPr>
        <w:t xml:space="preserve">.2.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Правила проведения Стимулирующего мероприятия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ЖАРКИЙ ДВИЖ»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(далее по тексту - «Правила проведения «Стимулирующего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» или «Правила»),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разработанн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ые 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бществом с ограниченной ответственностью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ЭДДА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»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соответствии с Федеральным законом от 13.03.2006г. №38-ФЗ «О рекламе» и иными нормативными правовыми актами Российской Федерации, регламентирующие проведение Стимулирующего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мероприятия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00" w:afterAutospacing="1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1.</w:t>
      </w:r>
      <w:r>
        <w:rPr>
          <w:rFonts w:ascii="Times New Roman" w:hAnsi="Times New Roman"/>
          <w:sz w:val="24"/>
          <w:szCs w:val="24"/>
        </w:rPr>
        <w:t xml:space="preserve">3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 Стимулирующее мероприятие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проводится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 соблюдением </w:t>
      </w:r>
      <w:r>
        <w:rPr>
          <w:rFonts w:ascii="Times New Roman" w:hAnsi="Times New Roman"/>
          <w:sz w:val="24"/>
          <w:szCs w:val="24"/>
        </w:rPr>
        <w:t xml:space="preserve">требовани</w:t>
      </w:r>
      <w:r>
        <w:rPr>
          <w:rFonts w:ascii="Times New Roman" w:hAnsi="Times New Roman"/>
          <w:sz w:val="24"/>
          <w:szCs w:val="24"/>
        </w:rPr>
        <w:t xml:space="preserve">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fldChar w:fldCharType="begin"/>
      </w:r>
      <w:r>
        <w:rPr>
          <w:rFonts w:ascii="Times New Roman" w:hAnsi="Times New Roman" w:eastAsia="Times New Roman"/>
          <w:sz w:val="24"/>
          <w:szCs w:val="24"/>
          <w:lang w:eastAsia="ru-RU"/>
        </w:rPr>
        <w:instrText xml:space="preserve"> HYPERLINK "http://www.1jur.ru/?utm_source=www.lawyercom.ru&amp;utm_medium=refer&amp;utm_campaign=qa_innerlink&amp;" \l "/document/99/901971356//" \o "[#4]" </w:instrText>
      </w:r>
      <w:r>
        <w:rPr>
          <w:rFonts w:ascii="Times New Roman" w:hAnsi="Times New Roman" w:eastAsia="Times New Roman"/>
          <w:sz w:val="24"/>
          <w:szCs w:val="24"/>
          <w:lang w:eastAsia="ru-RU"/>
        </w:rPr>
        <w:fldChar w:fldCharType="separate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Федерального закона от 13 марта 2006 года № 38-ФЗ «О рекламе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fldChar w:fldCharType="end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»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 Стимулирующее мероприятие является мероприятием, не основанным на риске, для участи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в котором не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требуется внесения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платы.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Для получ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ения Призов по результатам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перечисления денежных средств на счет Организатора либо третьих лиц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не требуется. Организатор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не производит участникам никаких возмещений, компенсаций и иных в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ыплат в связи с участием в стимулирующем мероприятии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за исключением передачи Призов на условиях нас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тоящих Правил. Организатор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несет ответственность за фо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рмирование призового фонда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151515"/>
          <w:sz w:val="24"/>
          <w:szCs w:val="24"/>
          <w:shd w:val="clear" w:color="auto" w:fill="ffffff"/>
        </w:rPr>
        <w:t xml:space="preserve">Все налоги, сборы и платежи, установленные законодательством РФ, Победител</w:t>
      </w:r>
      <w:r>
        <w:rPr>
          <w:rFonts w:ascii="Times New Roman" w:hAnsi="Times New Roman"/>
          <w:color w:val="151515"/>
          <w:sz w:val="24"/>
          <w:szCs w:val="24"/>
          <w:shd w:val="clear" w:color="auto" w:fill="ffffff"/>
        </w:rPr>
        <w:t xml:space="preserve">и</w:t>
      </w:r>
      <w:r>
        <w:rPr>
          <w:rFonts w:ascii="Times New Roman" w:hAnsi="Times New Roman"/>
          <w:color w:val="151515"/>
          <w:sz w:val="24"/>
          <w:szCs w:val="24"/>
          <w:shd w:val="clear" w:color="auto" w:fill="ffffff"/>
        </w:rPr>
        <w:t xml:space="preserve"> уплачива</w:t>
      </w:r>
      <w:r>
        <w:rPr>
          <w:rFonts w:ascii="Times New Roman" w:hAnsi="Times New Roman"/>
          <w:color w:val="151515"/>
          <w:sz w:val="24"/>
          <w:szCs w:val="24"/>
          <w:shd w:val="clear" w:color="auto" w:fill="ffffff"/>
        </w:rPr>
        <w:t xml:space="preserve">ю</w:t>
      </w:r>
      <w:r>
        <w:rPr>
          <w:rFonts w:ascii="Times New Roman" w:hAnsi="Times New Roman"/>
          <w:color w:val="151515"/>
          <w:sz w:val="24"/>
          <w:szCs w:val="24"/>
          <w:shd w:val="clear" w:color="auto" w:fill="ffffff"/>
        </w:rPr>
        <w:t xml:space="preserve">т самостоятельно.</w:t>
      </w:r>
      <w:r>
        <w:rPr>
          <w:rFonts w:ascii="Segoe UI" w:hAnsi="Segoe UI" w:cs="Segoe UI"/>
          <w:color w:val="151515"/>
          <w:shd w:val="clear" w:color="auto" w:fill="ffffff"/>
        </w:rPr>
        <w:t xml:space="preserve"> 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Принимая участие в Стимулирующем мероприятии, Участники мероприятия полностью соглашаются с настоящими Правилами.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ab/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2. Общий срок проведения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: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2.1. Об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щий срок: 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апреля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202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года по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31 мая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202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года включительно.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указанный срок входит период совершения покупок, регистрации на сайте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: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knkamur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ru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проведение розыгрыша и выдача призов.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2.2. С</w:t>
      </w:r>
      <w:r>
        <w:rPr>
          <w:rFonts w:ascii="Times New Roman" w:hAnsi="Times New Roman"/>
          <w:sz w:val="24"/>
          <w:szCs w:val="24"/>
        </w:rPr>
        <w:t xml:space="preserve">рок совершения покупок: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апреля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2025 года по 25 мая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2025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года включительно.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26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мая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2025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года выдача купонов будет прекращена.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2.3. Срок регистрации на сайте: </w:t>
      </w:r>
      <w:r>
        <w:rPr>
          <w:rFonts w:ascii="Helvetica" w:hAnsi="Helvetica"/>
          <w:color w:val="535c69"/>
          <w:sz w:val="20"/>
          <w:szCs w:val="20"/>
          <w:shd w:val="clear" w:color="auto" w:fill="f8f8f8"/>
        </w:rPr>
        <w:t xml:space="preserve"> </w:t>
      </w:r>
      <w:r/>
      <w:hyperlink r:id="rId9" w:tooltip="https://knkamur.ru/dvizh/" w:history="1">
        <w:r>
          <w:rPr>
            <w:rStyle w:val="911"/>
            <w:rFonts w:ascii="Arial" w:hAnsi="Arial" w:eastAsia="Arial" w:cs="Arial"/>
            <w:color w:val="0b66c3"/>
            <w:sz w:val="20"/>
            <w:highlight w:val="white"/>
            <w:u w:val="none"/>
          </w:rPr>
          <w:t xml:space="preserve">https://knkamur.ru/dvizh/</w:t>
        </w:r>
      </w:hyperlink>
      <w:r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для принятия участи</w:t>
      </w:r>
      <w:r>
        <w:rPr>
          <w:rFonts w:ascii="Times New Roman" w:hAnsi="Times New Roman"/>
          <w:sz w:val="24"/>
          <w:szCs w:val="24"/>
        </w:rPr>
        <w:t xml:space="preserve">я в розыгрыше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апреля 2025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года по 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мая  2025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года включительно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.4. Срок в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ыдачи призов: 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3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0.04.2025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31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05.2025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включительно.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3. Территория проведения Стимулирующего мероприятия: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Рос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сийская Федерация,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Амурская область,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г. Благовещенск, ул. Мухина, 114.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4. Организатор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Стимулирующего мероприятия: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0"/>
        <w:ind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Общество с ограниченной ответственностью «Эдда»</w:t>
      </w:r>
      <w:r>
        <w:rPr>
          <w:rFonts w:ascii="Times New Roman" w:hAnsi="Times New Roman"/>
          <w:bCs/>
          <w:sz w:val="24"/>
          <w:szCs w:val="24"/>
          <w:lang w:eastAsia="ru-RU"/>
        </w:rPr>
      </w: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901"/>
        <w:pBdr/>
        <w:spacing w:after="0"/>
        <w:ind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ИНН 2801206487   КПП 280101001</w:t>
      </w:r>
      <w:r>
        <w:rPr>
          <w:rFonts w:ascii="Times New Roman" w:hAnsi="Times New Roman"/>
          <w:bCs/>
          <w:sz w:val="24"/>
          <w:szCs w:val="24"/>
          <w:lang w:eastAsia="ru-RU"/>
        </w:rPr>
      </w: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901"/>
        <w:pBdr/>
        <w:spacing w:after="0"/>
        <w:ind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ОГРН 1152801002595</w:t>
      </w:r>
      <w:r>
        <w:rPr>
          <w:rFonts w:ascii="Times New Roman" w:hAnsi="Times New Roman"/>
          <w:bCs/>
          <w:sz w:val="24"/>
          <w:szCs w:val="24"/>
          <w:lang w:eastAsia="ru-RU"/>
        </w:rPr>
      </w: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901"/>
        <w:pBdr/>
        <w:spacing w:after="0"/>
        <w:ind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Юридический адрес: 675000, Амурская область, г. Благовещенск, ул. Горького 130.</w:t>
      </w:r>
      <w:r>
        <w:rPr>
          <w:rFonts w:ascii="Times New Roman" w:hAnsi="Times New Roman"/>
          <w:bCs/>
          <w:sz w:val="24"/>
          <w:szCs w:val="24"/>
          <w:lang w:eastAsia="ru-RU"/>
        </w:rPr>
      </w: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901"/>
        <w:pBdr/>
        <w:spacing/>
        <w:ind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Почтовый адрес: 675000, Амурская область, г. Благовещенск, ул. Горького 130.</w:t>
      </w:r>
      <w:r>
        <w:rPr>
          <w:rFonts w:ascii="Times New Roman" w:hAnsi="Times New Roman"/>
          <w:bCs/>
          <w:sz w:val="24"/>
          <w:szCs w:val="24"/>
          <w:lang w:eastAsia="ru-RU"/>
        </w:rPr>
      </w: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913"/>
        <w:pBdr/>
        <w:spacing w:after="120" w:afterAutospacing="0"/>
        <w:ind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pStyle w:val="913"/>
        <w:pBdr/>
        <w:spacing w:after="120" w:afterAutospacing="0"/>
        <w:ind/>
        <w:rPr>
          <w:b/>
        </w:rPr>
      </w:pPr>
      <w:r>
        <w:rPr>
          <w:b/>
        </w:rPr>
        <w:t xml:space="preserve">5</w:t>
      </w:r>
      <w:r>
        <w:rPr>
          <w:b/>
        </w:rPr>
        <w:t xml:space="preserve">. </w:t>
      </w:r>
      <w:r>
        <w:rPr>
          <w:b/>
        </w:rPr>
        <w:t xml:space="preserve">Источник</w:t>
      </w:r>
      <w:r>
        <w:rPr>
          <w:b/>
        </w:rPr>
        <w:t xml:space="preserve">и</w:t>
      </w:r>
      <w:r>
        <w:rPr>
          <w:b/>
        </w:rPr>
        <w:t xml:space="preserve"> информации о Стимулирующем мероприятии</w:t>
      </w:r>
      <w:r>
        <w:rPr>
          <w:b/>
        </w:rPr>
        <w:t xml:space="preserve">: </w:t>
      </w:r>
      <w:r>
        <w:rPr>
          <w:b/>
        </w:rPr>
      </w:r>
      <w:r>
        <w:rPr>
          <w:b/>
        </w:rPr>
      </w:r>
    </w:p>
    <w:p>
      <w:pPr>
        <w:pStyle w:val="901"/>
        <w:pBdr/>
        <w:spacing/>
        <w:ind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Информацию об организаторах Стимулирующего мероприятия, о правилах его проведения и участия в Стимулирующем мероприятии, количестве призов или выигрышей по результатам такого мероприятия, сроках, месте и порядке их получения можно получить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knkamur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ru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или по телефону: +7914-573-56-49.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. 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Порядок проведения Стимулирующего мероприятия и участия в Стимулирующем мероприятии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: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6.1.</w:t>
      </w:r>
      <w:r>
        <w:rPr>
          <w:rFonts w:ascii="Times New Roman" w:hAnsi="Times New Roman"/>
          <w:sz w:val="24"/>
          <w:szCs w:val="24"/>
        </w:rPr>
        <w:t xml:space="preserve"> Участниками Стимулирующего мероприятия могут стать дееспособные физические лица, достигшие 18-ти летнего возраста граждане, проживающие на территории Российской Федерации.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 </w:t>
      </w:r>
      <w:r>
        <w:rPr>
          <w:rFonts w:ascii="Times New Roman" w:hAnsi="Times New Roman"/>
          <w:sz w:val="24"/>
          <w:szCs w:val="24"/>
        </w:rPr>
        <w:t xml:space="preserve">Для участия в Стимулирующем мероприятии необходимо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пери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од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апреля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мая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2025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года включительно</w:t>
      </w:r>
      <w:r>
        <w:rPr>
          <w:rFonts w:ascii="Times New Roman" w:hAnsi="Times New Roman"/>
          <w:sz w:val="24"/>
          <w:szCs w:val="24"/>
        </w:rPr>
        <w:t xml:space="preserve">: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1.</w:t>
      </w:r>
      <w:r>
        <w:rPr>
          <w:rFonts w:ascii="Times New Roman" w:hAnsi="Times New Roman"/>
          <w:sz w:val="24"/>
          <w:szCs w:val="24"/>
        </w:rPr>
        <w:t xml:space="preserve"> Совершить едино</w:t>
      </w:r>
      <w:r>
        <w:rPr>
          <w:rFonts w:ascii="Times New Roman" w:hAnsi="Times New Roman"/>
          <w:sz w:val="24"/>
          <w:szCs w:val="24"/>
        </w:rPr>
        <w:t xml:space="preserve">временную покупку на сумму </w:t>
      </w:r>
      <w:r>
        <w:rPr>
          <w:rFonts w:ascii="Times New Roman" w:hAnsi="Times New Roman"/>
          <w:sz w:val="24"/>
          <w:szCs w:val="24"/>
        </w:rPr>
        <w:t xml:space="preserve">990</w:t>
      </w:r>
      <w:r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 xml:space="preserve">девятьсот девяносто</w:t>
      </w:r>
      <w:r>
        <w:rPr>
          <w:rFonts w:ascii="Times New Roman" w:hAnsi="Times New Roman"/>
          <w:sz w:val="24"/>
          <w:szCs w:val="24"/>
        </w:rPr>
        <w:t xml:space="preserve"> рублей</w:t>
      </w:r>
      <w:r>
        <w:rPr>
          <w:rFonts w:ascii="Times New Roman" w:hAnsi="Times New Roman"/>
          <w:sz w:val="24"/>
          <w:szCs w:val="24"/>
        </w:rPr>
        <w:t xml:space="preserve">) и более рублей</w:t>
      </w:r>
      <w:r>
        <w:rPr>
          <w:rFonts w:ascii="Times New Roman" w:hAnsi="Times New Roman"/>
          <w:sz w:val="24"/>
          <w:szCs w:val="24"/>
        </w:rPr>
        <w:t xml:space="preserve"> в одном чеке</w:t>
      </w:r>
      <w:r>
        <w:rPr>
          <w:rFonts w:ascii="Times New Roman" w:hAnsi="Times New Roman"/>
          <w:sz w:val="24"/>
          <w:szCs w:val="24"/>
        </w:rPr>
        <w:t xml:space="preserve">, включая 2 товара Партнера (Приложение Список товаров Партнёров)</w:t>
      </w:r>
      <w:r>
        <w:rPr>
          <w:rFonts w:ascii="Times New Roman" w:hAnsi="Times New Roman"/>
          <w:sz w:val="24"/>
          <w:szCs w:val="24"/>
        </w:rPr>
        <w:t xml:space="preserve"> в любом супермаркете «Кэш</w:t>
      </w:r>
      <w:r>
        <w:rPr>
          <w:rFonts w:ascii="Times New Roman" w:hAnsi="Times New Roman"/>
          <w:sz w:val="24"/>
          <w:szCs w:val="24"/>
        </w:rPr>
        <w:t xml:space="preserve">&amp;</w:t>
      </w:r>
      <w:r>
        <w:rPr>
          <w:rFonts w:ascii="Times New Roman" w:hAnsi="Times New Roman"/>
          <w:sz w:val="24"/>
          <w:szCs w:val="24"/>
        </w:rPr>
        <w:t xml:space="preserve">Кээри», расположенном в г. Благовещенске Амурской области.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</w:tabs>
        <w:spacing w:after="120" w:line="240" w:lineRule="auto"/>
        <w:ind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Style w:val="935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Важно: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 При определении общей суммы покупки в чеке не учитывается стоимость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табака, табачной продукции, табачных изделий, никотинсодержащей продукции, устройств для потребления никотинсодержащей продукции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алкогольной продукции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r>
    </w:p>
    <w:p>
      <w:pPr>
        <w:pStyle w:val="901"/>
        <w:widowControl w:val="false"/>
        <w:pBdr/>
        <w:tabs>
          <w:tab w:val="left" w:leader="none" w:pos="567"/>
        </w:tabs>
        <w:spacing w:after="120" w:line="240" w:lineRule="auto"/>
        <w:ind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Важно: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  <w:tab/>
        <w:t xml:space="preserve">Покупки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оплаченные подарочным сертификатом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в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розыгрыше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не участвуют.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r>
    </w:p>
    <w:p>
      <w:pPr>
        <w:pStyle w:val="901"/>
        <w:widowControl w:val="false"/>
        <w:pBdr/>
        <w:tabs>
          <w:tab w:val="left" w:leader="none" w:pos="567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2.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>
        <w:rPr>
          <w:rFonts w:ascii="Times New Roman" w:hAnsi="Times New Roman"/>
          <w:sz w:val="24"/>
          <w:szCs w:val="24"/>
        </w:rPr>
        <w:t xml:space="preserve">кассе вместе</w:t>
      </w:r>
      <w:r>
        <w:rPr>
          <w:rFonts w:ascii="Times New Roman" w:hAnsi="Times New Roman"/>
          <w:sz w:val="24"/>
          <w:szCs w:val="24"/>
        </w:rPr>
        <w:t xml:space="preserve"> с чеком получить регистрационный купон</w:t>
      </w:r>
      <w:r>
        <w:rPr>
          <w:rFonts w:ascii="Times New Roman" w:hAnsi="Times New Roman"/>
          <w:sz w:val="24"/>
          <w:szCs w:val="24"/>
        </w:rPr>
        <w:t xml:space="preserve">/купон</w:t>
      </w:r>
      <w:r>
        <w:rPr>
          <w:rFonts w:ascii="Times New Roman" w:hAnsi="Times New Roman"/>
          <w:sz w:val="24"/>
          <w:szCs w:val="24"/>
        </w:rPr>
        <w:t xml:space="preserve">ы, которые выдаются за кажды</w:t>
      </w:r>
      <w:r>
        <w:rPr>
          <w:rFonts w:ascii="Times New Roman" w:hAnsi="Times New Roman"/>
          <w:sz w:val="24"/>
          <w:szCs w:val="24"/>
        </w:rPr>
        <w:t xml:space="preserve">й чек суммой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990</w:t>
      </w:r>
      <w:r>
        <w:rPr>
          <w:rFonts w:ascii="Times New Roman" w:hAnsi="Times New Roman"/>
          <w:sz w:val="24"/>
          <w:szCs w:val="24"/>
        </w:rPr>
        <w:t xml:space="preserve"> рублей </w:t>
      </w:r>
      <w:r>
        <w:rPr>
          <w:rFonts w:ascii="Times New Roman" w:hAnsi="Times New Roman"/>
          <w:sz w:val="24"/>
          <w:szCs w:val="24"/>
        </w:rPr>
        <w:t xml:space="preserve">и более</w:t>
      </w:r>
      <w:r>
        <w:rPr>
          <w:rFonts w:ascii="Times New Roman" w:hAnsi="Times New Roman"/>
          <w:sz w:val="24"/>
          <w:szCs w:val="24"/>
        </w:rPr>
        <w:t xml:space="preserve">, включая 2 товара Партнёра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Купон печатается на чековой ленте вместе с чеком. </w:t>
      </w:r>
      <w:r>
        <w:rPr>
          <w:rFonts w:ascii="Times New Roman" w:hAnsi="Times New Roman"/>
          <w:sz w:val="24"/>
          <w:szCs w:val="24"/>
        </w:rPr>
        <w:t xml:space="preserve">На каждый чек суммой </w:t>
      </w:r>
      <w:r>
        <w:rPr>
          <w:rFonts w:ascii="Times New Roman" w:hAnsi="Times New Roman"/>
          <w:sz w:val="24"/>
          <w:szCs w:val="24"/>
        </w:rPr>
        <w:t xml:space="preserve">990</w:t>
      </w:r>
      <w:r>
        <w:rPr>
          <w:rFonts w:ascii="Times New Roman" w:hAnsi="Times New Roman"/>
          <w:sz w:val="24"/>
          <w:szCs w:val="24"/>
        </w:rPr>
        <w:t xml:space="preserve"> рублей </w:t>
      </w:r>
      <w:r>
        <w:rPr>
          <w:rFonts w:ascii="Times New Roman" w:hAnsi="Times New Roman"/>
          <w:sz w:val="24"/>
          <w:szCs w:val="24"/>
        </w:rPr>
        <w:t xml:space="preserve">и более выдается 1 купон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  <w:tab w:val="left" w:leader="none" w:pos="709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</w:t>
      </w:r>
      <w:r>
        <w:rPr>
          <w:rFonts w:ascii="Times New Roman" w:hAnsi="Times New Roman"/>
          <w:sz w:val="24"/>
          <w:szCs w:val="24"/>
        </w:rPr>
        <w:t xml:space="preserve">2.3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Зарегистрировать </w:t>
      </w:r>
      <w:r>
        <w:rPr>
          <w:rFonts w:ascii="Times New Roman" w:hAnsi="Times New Roman"/>
          <w:sz w:val="24"/>
          <w:szCs w:val="24"/>
        </w:rPr>
        <w:t xml:space="preserve">каждый купон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сайте</w:t>
      </w:r>
      <w:r>
        <w:rPr>
          <w:rFonts w:ascii="Times New Roman" w:hAnsi="Times New Roman"/>
          <w:sz w:val="24"/>
          <w:szCs w:val="24"/>
        </w:rPr>
        <w:t xml:space="preserve">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Helvetica" w:hAnsi="Helvetica"/>
          <w:color w:val="535c69"/>
          <w:sz w:val="20"/>
          <w:szCs w:val="20"/>
          <w:shd w:val="clear" w:color="auto" w:fill="f8f8f8"/>
        </w:rPr>
        <w:t xml:space="preserve"> </w:t>
      </w:r>
      <w:r/>
      <w:hyperlink r:id="rId10" w:tooltip="https://knkamur.ru/dvizh/" w:history="1">
        <w:r>
          <w:rPr>
            <w:rStyle w:val="911"/>
            <w:rFonts w:ascii="Arial" w:hAnsi="Arial" w:eastAsia="Arial" w:cs="Arial"/>
            <w:color w:val="0b66c3"/>
            <w:sz w:val="20"/>
            <w:highlight w:val="white"/>
            <w:u w:val="none"/>
          </w:rPr>
          <w:t xml:space="preserve">https://knkamur.ru/dvizh/</w:t>
        </w:r>
      </w:hyperlink>
      <w:r/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  <w:tab w:val="left" w:leader="none" w:pos="709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6.2.4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Сохранить </w:t>
      </w:r>
      <w:r>
        <w:rPr>
          <w:rFonts w:ascii="Times New Roman" w:hAnsi="Times New Roman"/>
          <w:sz w:val="24"/>
          <w:szCs w:val="24"/>
        </w:rPr>
        <w:t xml:space="preserve">оригинал </w:t>
      </w:r>
      <w:r>
        <w:rPr>
          <w:rFonts w:ascii="Times New Roman" w:hAnsi="Times New Roman"/>
          <w:sz w:val="24"/>
          <w:szCs w:val="24"/>
        </w:rPr>
        <w:t xml:space="preserve">чек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с купоном </w:t>
      </w:r>
      <w:r>
        <w:rPr>
          <w:rFonts w:ascii="Times New Roman" w:hAnsi="Times New Roman"/>
          <w:sz w:val="24"/>
          <w:szCs w:val="24"/>
        </w:rPr>
        <w:t xml:space="preserve">на покупку до времени вручения приза;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  <w:tab w:val="left" w:leader="none" w:pos="709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6.2.5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Быть доступным по номеру телефона, указанному при регистрации </w:t>
      </w:r>
      <w:r>
        <w:rPr>
          <w:rFonts w:ascii="Times New Roman" w:hAnsi="Times New Roman"/>
          <w:sz w:val="24"/>
          <w:szCs w:val="24"/>
        </w:rPr>
        <w:t xml:space="preserve">купона с </w:t>
      </w:r>
      <w:r>
        <w:rPr>
          <w:rFonts w:ascii="Times New Roman" w:hAnsi="Times New Roman"/>
          <w:sz w:val="24"/>
          <w:szCs w:val="24"/>
        </w:rPr>
        <w:t xml:space="preserve">8</w:t>
      </w:r>
      <w:r>
        <w:rPr>
          <w:rFonts w:ascii="Times New Roman" w:hAnsi="Times New Roman"/>
          <w:sz w:val="24"/>
          <w:szCs w:val="24"/>
        </w:rPr>
        <w:t xml:space="preserve"> часов 00 минут до 1</w:t>
      </w:r>
      <w:r>
        <w:rPr>
          <w:rFonts w:ascii="Times New Roman" w:hAnsi="Times New Roman"/>
          <w:sz w:val="24"/>
          <w:szCs w:val="24"/>
        </w:rPr>
        <w:t xml:space="preserve">7</w:t>
      </w:r>
      <w:r>
        <w:rPr>
          <w:rFonts w:ascii="Times New Roman" w:hAnsi="Times New Roman"/>
          <w:sz w:val="24"/>
          <w:szCs w:val="24"/>
        </w:rPr>
        <w:t xml:space="preserve"> часов</w:t>
      </w:r>
      <w:r>
        <w:rPr>
          <w:rFonts w:ascii="Times New Roman" w:hAnsi="Times New Roman"/>
          <w:sz w:val="24"/>
          <w:szCs w:val="24"/>
        </w:rPr>
        <w:t xml:space="preserve"> 00</w:t>
      </w:r>
      <w:r>
        <w:rPr>
          <w:rFonts w:ascii="Times New Roman" w:hAnsi="Times New Roman"/>
          <w:sz w:val="24"/>
          <w:szCs w:val="24"/>
        </w:rPr>
        <w:t xml:space="preserve"> минут местного времени в дни</w:t>
      </w:r>
      <w:r>
        <w:rPr>
          <w:rFonts w:ascii="Times New Roman" w:hAnsi="Times New Roman"/>
          <w:sz w:val="24"/>
          <w:szCs w:val="24"/>
        </w:rPr>
        <w:t xml:space="preserve"> проведения розыгрыша призов</w:t>
      </w:r>
      <w:r>
        <w:rPr>
          <w:rFonts w:ascii="Times New Roman" w:hAnsi="Times New Roman"/>
          <w:sz w:val="24"/>
          <w:szCs w:val="24"/>
        </w:rPr>
        <w:t xml:space="preserve">: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13"/>
        <w:pBdr/>
        <w:shd w:val="clear" w:color="auto" w:fill="ffffff"/>
        <w:spacing/>
        <w:ind/>
        <w:rPr/>
      </w:pPr>
      <w:r>
        <w:t xml:space="preserve">30 апреля 2025 г</w:t>
      </w:r>
      <w:r/>
    </w:p>
    <w:p>
      <w:pPr>
        <w:pStyle w:val="913"/>
        <w:pBdr/>
        <w:shd w:val="clear" w:color="auto" w:fill="ffffff"/>
        <w:spacing/>
        <w:ind/>
        <w:rPr/>
      </w:pPr>
      <w:r>
        <w:t xml:space="preserve">15 мая 2025 г</w:t>
      </w:r>
      <w:r/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6.3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Допускается неоднократное учас</w:t>
      </w:r>
      <w:r>
        <w:rPr>
          <w:rFonts w:ascii="Times New Roman" w:hAnsi="Times New Roman"/>
          <w:sz w:val="24"/>
          <w:szCs w:val="24"/>
        </w:rPr>
        <w:t xml:space="preserve">тие в стимулирующем мероприятии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 розыгрыше участвуют чеки, зарегистрированные в течение </w:t>
      </w:r>
      <w:r>
        <w:rPr>
          <w:rFonts w:ascii="Times New Roman" w:hAnsi="Times New Roman"/>
          <w:sz w:val="24"/>
          <w:szCs w:val="24"/>
        </w:rPr>
        <w:t xml:space="preserve">периода</w:t>
      </w:r>
      <w:r>
        <w:rPr>
          <w:rFonts w:ascii="Times New Roman" w:hAnsi="Times New Roman"/>
          <w:sz w:val="24"/>
          <w:szCs w:val="24"/>
        </w:rPr>
        <w:t xml:space="preserve">, предшествовав</w:t>
      </w:r>
      <w:r>
        <w:rPr>
          <w:rFonts w:ascii="Times New Roman" w:hAnsi="Times New Roman"/>
          <w:sz w:val="24"/>
          <w:szCs w:val="24"/>
        </w:rPr>
        <w:t xml:space="preserve">шего</w:t>
      </w:r>
      <w:r>
        <w:rPr>
          <w:rFonts w:ascii="Times New Roman" w:hAnsi="Times New Roman"/>
          <w:sz w:val="24"/>
          <w:szCs w:val="24"/>
        </w:rPr>
        <w:t xml:space="preserve"> розыгрышу.</w:t>
      </w:r>
      <w:r>
        <w:rPr>
          <w:rFonts w:ascii="Times New Roman" w:hAnsi="Times New Roman"/>
          <w:sz w:val="24"/>
          <w:szCs w:val="24"/>
        </w:rPr>
        <w:t xml:space="preserve"> Если зарегистрированный чек</w:t>
      </w:r>
      <w:r>
        <w:rPr>
          <w:rFonts w:ascii="Times New Roman" w:hAnsi="Times New Roman"/>
          <w:sz w:val="24"/>
          <w:szCs w:val="24"/>
        </w:rPr>
        <w:t xml:space="preserve"> - купон</w:t>
      </w:r>
      <w:r>
        <w:rPr>
          <w:rFonts w:ascii="Times New Roman" w:hAnsi="Times New Roman"/>
          <w:sz w:val="24"/>
          <w:szCs w:val="24"/>
        </w:rPr>
        <w:t xml:space="preserve"> не выиграл в </w:t>
      </w:r>
      <w:r>
        <w:rPr>
          <w:rFonts w:ascii="Times New Roman" w:hAnsi="Times New Roman"/>
          <w:sz w:val="24"/>
          <w:szCs w:val="24"/>
        </w:rPr>
        <w:t xml:space="preserve">предыдущем периоде не выиграл</w:t>
      </w:r>
      <w:r>
        <w:rPr>
          <w:rFonts w:ascii="Times New Roman" w:hAnsi="Times New Roman"/>
          <w:sz w:val="24"/>
          <w:szCs w:val="24"/>
        </w:rPr>
        <w:t xml:space="preserve">, он участвует в следующе</w:t>
      </w:r>
      <w:r>
        <w:rPr>
          <w:rFonts w:ascii="Times New Roman" w:hAnsi="Times New Roman"/>
          <w:sz w:val="24"/>
          <w:szCs w:val="24"/>
        </w:rPr>
        <w:t xml:space="preserve">м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 </w:t>
        <w:tab/>
      </w:r>
      <w:r>
        <w:rPr>
          <w:rFonts w:ascii="Times New Roman" w:hAnsi="Times New Roman"/>
          <w:sz w:val="24"/>
          <w:szCs w:val="24"/>
        </w:rPr>
        <w:t xml:space="preserve">Если чек</w:t>
      </w:r>
      <w:r>
        <w:rPr>
          <w:rFonts w:ascii="Times New Roman" w:hAnsi="Times New Roman"/>
          <w:sz w:val="24"/>
          <w:szCs w:val="24"/>
        </w:rPr>
        <w:t xml:space="preserve">-купон</w:t>
      </w:r>
      <w:r>
        <w:rPr>
          <w:rFonts w:ascii="Times New Roman" w:hAnsi="Times New Roman"/>
          <w:sz w:val="24"/>
          <w:szCs w:val="24"/>
        </w:rPr>
        <w:t xml:space="preserve"> выиграл, то в следующем Розыгрыше принимать участие он не будет.</w:t>
      </w:r>
      <w:r>
        <w:rPr>
          <w:rFonts w:ascii="Times New Roman" w:hAnsi="Times New Roman"/>
          <w:sz w:val="24"/>
          <w:szCs w:val="24"/>
        </w:rPr>
        <w:t xml:space="preserve"> Один Участник Акции м</w:t>
      </w:r>
      <w:r>
        <w:rPr>
          <w:rFonts w:ascii="Times New Roman" w:hAnsi="Times New Roman"/>
          <w:sz w:val="24"/>
          <w:szCs w:val="24"/>
        </w:rPr>
        <w:t xml:space="preserve">ожет получить </w:t>
      </w:r>
      <w:r>
        <w:rPr>
          <w:rFonts w:ascii="Times New Roman" w:hAnsi="Times New Roman"/>
          <w:sz w:val="24"/>
          <w:szCs w:val="24"/>
        </w:rPr>
        <w:t xml:space="preserve">несколько призов  в разные этапы, но только 1 приз в 1 этап.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6.4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 xml:space="preserve">Финальном розыгрыше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3</w:t>
      </w:r>
      <w:r>
        <w:rPr>
          <w:rFonts w:ascii="Times New Roman" w:hAnsi="Times New Roman"/>
          <w:sz w:val="24"/>
          <w:szCs w:val="24"/>
        </w:rPr>
        <w:t xml:space="preserve">1 </w:t>
      </w:r>
      <w:r>
        <w:rPr>
          <w:rFonts w:ascii="Times New Roman" w:hAnsi="Times New Roman"/>
          <w:sz w:val="24"/>
          <w:szCs w:val="24"/>
        </w:rPr>
        <w:t xml:space="preserve">мая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в 14.00 в ТРЦ Острова</w:t>
      </w:r>
      <w:r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 xml:space="preserve">Старый город</w:t>
      </w:r>
      <w:r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 участвуют чеки с </w:t>
      </w:r>
      <w:r>
        <w:rPr>
          <w:rFonts w:ascii="Times New Roman" w:hAnsi="Times New Roman"/>
          <w:sz w:val="24"/>
          <w:szCs w:val="24"/>
        </w:rPr>
        <w:t xml:space="preserve">01.04.25  по 31.05.25</w:t>
      </w:r>
      <w:r>
        <w:rPr>
          <w:rFonts w:ascii="Times New Roman" w:hAnsi="Times New Roman"/>
          <w:sz w:val="24"/>
          <w:szCs w:val="24"/>
        </w:rPr>
        <w:t xml:space="preserve"> г.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График участия чеков в акции: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tbl>
      <w:tblPr>
        <w:tblW w:w="9838" w:type="dxa"/>
        <w:jc w:val="center"/>
        <w:tblInd w:w="-1027" w:type="dxa"/>
        <w:tblBorders/>
        <w:tblLayout w:type="autofit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038"/>
        <w:gridCol w:w="2685"/>
        <w:gridCol w:w="4115"/>
      </w:tblGrid>
      <w:tr>
        <w:trPr>
          <w:trHeight w:val="814"/>
        </w:trPr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none" w:color="ffffff" w:sz="255" w:space="0"/>
              <w:right w:val="none" w:color="ffffff" w:sz="255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303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Период совершения покупок (регистрации купонов)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none" w:color="ffffff" w:sz="255" w:space="0"/>
              <w:right w:val="single" w:color="auto" w:sz="8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Дата розыгрыша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none" w:color="ffffff" w:sz="255" w:space="0"/>
              <w:right w:val="single" w:color="auto" w:sz="8" w:space="0"/>
            </w:tcBorders>
            <w:tcW w:w="4115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8"/>
                <w:rFonts w:eastAsia="Calibri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Приз</w:t>
            </w:r>
            <w:r>
              <w:rPr>
                <w:rStyle w:val="928"/>
                <w:rFonts w:eastAsia="Calibri"/>
                <w:sz w:val="24"/>
                <w:szCs w:val="24"/>
              </w:rPr>
            </w:r>
            <w:r>
              <w:rPr>
                <w:rStyle w:val="928"/>
                <w:rFonts w:eastAsia="Calibri"/>
                <w:sz w:val="24"/>
                <w:szCs w:val="24"/>
              </w:rPr>
            </w:r>
          </w:p>
        </w:tc>
      </w:tr>
      <w:tr>
        <w:trPr>
          <w:trHeight w:val="1497"/>
        </w:trPr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none" w:color="ffffff" w:sz="255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303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</w:rPr>
            </w:pPr>
            <w:r>
              <w:rPr>
                <w:rStyle w:val="929"/>
                <w:rFonts w:eastAsia="Calibri"/>
              </w:rPr>
            </w:r>
            <w:r>
              <w:rPr>
                <w:rStyle w:val="929"/>
                <w:rFonts w:eastAsia="Calibri"/>
              </w:rPr>
            </w:r>
            <w:r>
              <w:rPr>
                <w:rStyle w:val="929"/>
                <w:rFonts w:eastAsia="Calibri"/>
              </w:rPr>
            </w:r>
          </w:p>
          <w:p>
            <w:pPr>
              <w:pStyle w:val="901"/>
              <w:pBdr/>
              <w:spacing w:after="120"/>
              <w:ind/>
              <w:jc w:val="center"/>
              <w:rPr>
                <w:rFonts w:cs="Calibr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апреля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 апреля 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Fonts w:cs="Calibri"/>
              </w:rPr>
            </w:r>
            <w:r>
              <w:rPr>
                <w:rFonts w:cs="Calibri"/>
              </w:rPr>
            </w:r>
          </w:p>
        </w:tc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2685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апреля  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4115" w:type="dxa"/>
            <w:vAlign w:val="top"/>
            <w:textDirection w:val="lrTb"/>
            <w:noWrap w:val="false"/>
          </w:tcPr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Бассейн </w:t>
            </w:r>
            <w:r>
              <w:t xml:space="preserve">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Батут - 1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Велосипед – 1 шт</w:t>
            </w:r>
            <w:r/>
          </w:p>
        </w:tc>
      </w:tr>
      <w:tr>
        <w:trPr>
          <w:trHeight w:val="1497"/>
        </w:trPr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8" w:space="0"/>
              <w:right w:val="none" w:color="ffffff" w:sz="255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303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апреля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14 мая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Style w:val="929"/>
                <w:rFonts w:eastAsia="Calibri"/>
                <w:sz w:val="22"/>
                <w:szCs w:val="22"/>
              </w:rPr>
            </w:r>
            <w:r>
              <w:rPr>
                <w:rStyle w:val="929"/>
                <w:rFonts w:eastAsia="Calibri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2685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  <w:sz w:val="24"/>
                <w:szCs w:val="24"/>
              </w:rPr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15 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мая 2025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 года</w:t>
            </w:r>
            <w:r>
              <w:rPr>
                <w:rStyle w:val="929"/>
                <w:rFonts w:eastAsia="Calibri"/>
                <w:sz w:val="24"/>
                <w:szCs w:val="24"/>
              </w:rPr>
            </w:r>
            <w:r>
              <w:rPr>
                <w:rStyle w:val="929"/>
                <w:rFonts w:eastAsia="Calibri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4115" w:type="dxa"/>
            <w:vAlign w:val="top"/>
            <w:textDirection w:val="lrTb"/>
            <w:noWrap w:val="false"/>
          </w:tcPr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Шезлонг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Мангал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Палатка – 1 шт</w:t>
            </w:r>
            <w:r/>
          </w:p>
        </w:tc>
      </w:tr>
      <w:tr>
        <w:trPr>
          <w:trHeight w:val="1497"/>
        </w:trPr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4" w:space="0"/>
              <w:right w:val="none" w:color="ffffff" w:sz="255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303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апреля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25 мая 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Style w:val="929"/>
                <w:rFonts w:eastAsia="Calibri"/>
                <w:sz w:val="24"/>
                <w:szCs w:val="24"/>
              </w:rPr>
            </w:r>
            <w:r>
              <w:rPr>
                <w:rStyle w:val="929"/>
                <w:rFonts w:eastAsia="Calibri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" w:type="dxa"/>
              <w:top w:w="0" w:type="dxa"/>
              <w:right w:w="10" w:type="dxa"/>
              <w:bottom w:w="0" w:type="dxa"/>
            </w:tcMar>
            <w:tcW w:w="2685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  <w:sz w:val="24"/>
                <w:szCs w:val="24"/>
              </w:rPr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3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1 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ма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я 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2025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 года</w:t>
            </w:r>
            <w:r>
              <w:rPr>
                <w:rStyle w:val="929"/>
                <w:rFonts w:eastAsia="Calibri"/>
                <w:sz w:val="24"/>
                <w:szCs w:val="24"/>
              </w:rPr>
            </w:r>
            <w:r>
              <w:rPr>
                <w:rStyle w:val="929"/>
                <w:rFonts w:eastAsia="Calibri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ffffff" w:sz="255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W w:w="4115" w:type="dxa"/>
            <w:vAlign w:val="top"/>
            <w:textDirection w:val="lrTb"/>
            <w:noWrap w:val="false"/>
          </w:tcPr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Сапборд – 1</w:t>
            </w:r>
            <w:r>
              <w:t xml:space="preserve">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Палатка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Мангал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Батут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Шезлонг – 1 шт 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Велосипед</w:t>
            </w:r>
            <w:r>
              <w:t xml:space="preserve"> - 1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Квадроцикл</w:t>
            </w:r>
            <w:r>
              <w:t xml:space="preserve"> – 1 шт</w:t>
            </w:r>
            <w:r/>
          </w:p>
        </w:tc>
      </w:tr>
    </w:tbl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tabs>
          <w:tab w:val="left" w:leader="none" w:pos="567"/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6.5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Факт выполнения участником С</w:t>
      </w:r>
      <w:r>
        <w:rPr>
          <w:rFonts w:ascii="Times New Roman" w:hAnsi="Times New Roman"/>
          <w:sz w:val="24"/>
          <w:szCs w:val="24"/>
        </w:rPr>
        <w:t xml:space="preserve">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д</w:t>
      </w:r>
      <w:r>
        <w:rPr>
          <w:rFonts w:ascii="Times New Roman" w:hAnsi="Times New Roman"/>
          <w:sz w:val="24"/>
          <w:szCs w:val="24"/>
        </w:rPr>
        <w:t xml:space="preserve">ействий, указанных в подпункте 6.2. пункта 6</w:t>
      </w:r>
      <w:r>
        <w:rPr>
          <w:rFonts w:ascii="Times New Roman" w:hAnsi="Times New Roman"/>
          <w:sz w:val="24"/>
          <w:szCs w:val="24"/>
        </w:rPr>
        <w:t xml:space="preserve"> настоящих Правил </w:t>
      </w:r>
      <w:r>
        <w:rPr>
          <w:rFonts w:ascii="Times New Roman" w:hAnsi="Times New Roman"/>
          <w:sz w:val="24"/>
          <w:szCs w:val="24"/>
        </w:rPr>
        <w:t xml:space="preserve">подтверждает, что участник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ознакомлен и согласен с настоящи</w:t>
      </w:r>
      <w:r>
        <w:rPr>
          <w:rFonts w:ascii="Times New Roman" w:hAnsi="Times New Roman"/>
          <w:sz w:val="24"/>
          <w:szCs w:val="24"/>
        </w:rPr>
        <w:t xml:space="preserve">ми Правилами, ч</w:t>
      </w:r>
      <w:r>
        <w:rPr>
          <w:rFonts w:ascii="Times New Roman" w:hAnsi="Times New Roman"/>
          <w:sz w:val="24"/>
          <w:szCs w:val="24"/>
        </w:rPr>
        <w:t xml:space="preserve">то участник стимул</w:t>
      </w:r>
      <w:r>
        <w:rPr>
          <w:rFonts w:ascii="Times New Roman" w:hAnsi="Times New Roman"/>
          <w:sz w:val="24"/>
          <w:szCs w:val="24"/>
        </w:rPr>
        <w:t xml:space="preserve">ирующего мероприятия</w:t>
      </w:r>
      <w:r>
        <w:rPr>
          <w:rFonts w:ascii="Times New Roman" w:hAnsi="Times New Roman"/>
          <w:sz w:val="24"/>
          <w:szCs w:val="24"/>
        </w:rPr>
        <w:t xml:space="preserve"> предварительно дал свое добровольное согласие на обработк</w:t>
      </w:r>
      <w:r>
        <w:rPr>
          <w:rFonts w:ascii="Times New Roman" w:hAnsi="Times New Roman"/>
          <w:sz w:val="24"/>
          <w:szCs w:val="24"/>
        </w:rPr>
        <w:t xml:space="preserve">у Организатором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предоставленной участ</w:t>
      </w:r>
      <w:r>
        <w:rPr>
          <w:rFonts w:ascii="Times New Roman" w:hAnsi="Times New Roman"/>
          <w:sz w:val="24"/>
          <w:szCs w:val="24"/>
        </w:rPr>
        <w:t xml:space="preserve">ником для целей проведения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информации, в том числе своих персональных да</w:t>
      </w:r>
      <w:r>
        <w:rPr>
          <w:rFonts w:ascii="Times New Roman" w:hAnsi="Times New Roman"/>
          <w:sz w:val="24"/>
          <w:szCs w:val="24"/>
        </w:rPr>
        <w:t xml:space="preserve">нных. При этом Организатор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обеспечивает надлежащую защиту</w:t>
      </w:r>
      <w:r>
        <w:rPr>
          <w:rFonts w:ascii="Times New Roman" w:hAnsi="Times New Roman"/>
          <w:sz w:val="24"/>
          <w:szCs w:val="24"/>
        </w:rPr>
        <w:t xml:space="preserve"> и конфиденциальность персональных данных, и имеет право осуществлять сбор, хранение, обработку, систематизацию, накопление, уточнение (обновление, изменение), распространение (в том числе передачу), обезличивание, блокирование, уничтожение персональных да</w:t>
      </w:r>
      <w:r>
        <w:rPr>
          <w:rFonts w:ascii="Times New Roman" w:hAnsi="Times New Roman"/>
          <w:sz w:val="24"/>
          <w:szCs w:val="24"/>
        </w:rPr>
        <w:t xml:space="preserve">нных, указанных участником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6.6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Персональные данные участника Стимулирующего мероприятия не распространяются и не</w:t>
      </w:r>
      <w:r>
        <w:rPr>
          <w:rFonts w:ascii="Times New Roman" w:hAnsi="Times New Roman"/>
          <w:sz w:val="24"/>
          <w:szCs w:val="24"/>
        </w:rPr>
        <w:t xml:space="preserve"> предоставляются Организаторами Стимулирующего мероприятия третьим лицам без согласия участника и используются Организаторами Стимулирующего мероприятия исключительно для исполнения обязанностей, установленных настоящими Правилами. При этом, участник Стиму</w:t>
      </w:r>
      <w:r>
        <w:rPr>
          <w:rFonts w:ascii="Times New Roman" w:hAnsi="Times New Roman"/>
          <w:sz w:val="24"/>
          <w:szCs w:val="24"/>
        </w:rPr>
        <w:t xml:space="preserve">лирующего мероприятия вправе в любое время потребовать от Организаторов Стимулирующего мероприятия прекратить обработку персональных данных участника, путем направления письменного уведомления об отзыве своего согласия на обработку его персональных данных </w:t>
      </w:r>
      <w:r>
        <w:rPr>
          <w:rFonts w:ascii="Times New Roman" w:hAnsi="Times New Roman"/>
          <w:sz w:val="24"/>
          <w:szCs w:val="24"/>
          <w:lang w:eastAsia="ru-RU"/>
        </w:rPr>
        <w:t xml:space="preserve">на электронный адрес: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glmarket</w:t>
      </w:r>
      <w:r>
        <w:rPr>
          <w:rFonts w:ascii="Times New Roman" w:hAnsi="Times New Roman"/>
          <w:sz w:val="24"/>
          <w:szCs w:val="24"/>
          <w:lang w:eastAsia="ru-RU"/>
        </w:rPr>
        <w:t xml:space="preserve">@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knk</w:t>
      </w:r>
      <w:r>
        <w:rPr>
          <w:rFonts w:ascii="Times New Roman" w:hAnsi="Times New Roman"/>
          <w:sz w:val="24"/>
          <w:szCs w:val="24"/>
          <w:lang w:eastAsia="ru-RU"/>
        </w:rPr>
        <w:t xml:space="preserve">-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amur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ru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случае получения уведомления об отзыве согласия Организаторы Стимулирующего мероприятия и уполномоченные ими лица прекращают обработк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у персональных данных такого участника и уничтожают персональные данные в срок, не превышающий тридцати дней с даты поступления указанного отзыва.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6.7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Налоги. Согласно законодательству РФ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не облагаются налогом на доходы физических лиц (НДФЛ) доходы, не превышающие 4000 рублей, полученные за налог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овый период от организаций, в том числе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в виде подарков, выигрышей или призов в проводимых конкурсах, играх и других мероприятиях в целях рекламы товаров (работ, услуг (п. 28 ст. 217 НК РФ). Организатор настоящим информир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ует выигравших призы Участников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о законодательно предусмотренной обязанности уплатить соответствующие налоги в связи с получением призов (выигрышей) от организаций, стоимость которых превышает 4 000 (четыре тысячи) рублей за отчетный период (календарный год). Пр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инимая участие в стимулирующем мероприятии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и соглашаясь 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настоящими Правилами Участники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считаются надлежащим образом проинформированными о вышеуказанной обязанности.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6.8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Организатор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ы не несу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 ответственность за неисполнение им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дейс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твий, связанных с проведением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если такое неисполнение произошло вследствие уничтожения персональных данных участника в результате отзыва участником согласия на их обработку.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6.</w:t>
      </w:r>
      <w:r>
        <w:rPr>
          <w:rFonts w:ascii="Times New Roman" w:hAnsi="Times New Roman"/>
          <w:sz w:val="24"/>
          <w:szCs w:val="24"/>
        </w:rPr>
        <w:t xml:space="preserve">9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участников </w:t>
      </w:r>
      <w:r>
        <w:rPr>
          <w:rFonts w:ascii="Times New Roman" w:hAnsi="Times New Roman"/>
          <w:sz w:val="24"/>
          <w:szCs w:val="24"/>
        </w:rPr>
        <w:t xml:space="preserve">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возлагается обязанность соблюдать настоящие Правила, а также иные обязанности, установленные </w:t>
      </w:r>
      <w:r>
        <w:rPr>
          <w:rFonts w:ascii="Times New Roman" w:hAnsi="Times New Roman"/>
          <w:sz w:val="24"/>
          <w:szCs w:val="24"/>
        </w:rPr>
        <w:t xml:space="preserve">действующим </w:t>
      </w:r>
      <w:r>
        <w:rPr>
          <w:rFonts w:ascii="Times New Roman" w:hAnsi="Times New Roman"/>
          <w:sz w:val="24"/>
          <w:szCs w:val="24"/>
        </w:rPr>
        <w:t xml:space="preserve">законодательством </w:t>
      </w:r>
      <w:r>
        <w:rPr>
          <w:rFonts w:ascii="Times New Roman" w:hAnsi="Times New Roman"/>
          <w:sz w:val="24"/>
          <w:szCs w:val="24"/>
        </w:rPr>
        <w:t xml:space="preserve">Российской Федерации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</w:t>
      </w:r>
      <w:r>
        <w:rPr>
          <w:rFonts w:ascii="Times New Roman" w:hAnsi="Times New Roman"/>
          <w:sz w:val="24"/>
          <w:szCs w:val="24"/>
        </w:rPr>
        <w:t xml:space="preserve">0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Участники, признанные победителями</w:t>
      </w:r>
      <w:r>
        <w:rPr>
          <w:rFonts w:ascii="Times New Roman" w:hAnsi="Times New Roman"/>
          <w:sz w:val="24"/>
          <w:szCs w:val="24"/>
        </w:rPr>
        <w:t xml:space="preserve">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,</w:t>
      </w:r>
      <w:r>
        <w:rPr>
          <w:rFonts w:ascii="Times New Roman" w:hAnsi="Times New Roman"/>
          <w:sz w:val="24"/>
          <w:szCs w:val="24"/>
        </w:rPr>
        <w:t xml:space="preserve"> вправе отказаться от п</w:t>
      </w:r>
      <w:r>
        <w:rPr>
          <w:rFonts w:ascii="Times New Roman" w:hAnsi="Times New Roman"/>
          <w:sz w:val="24"/>
          <w:szCs w:val="24"/>
        </w:rPr>
        <w:t xml:space="preserve">ризов</w:t>
      </w:r>
      <w:r>
        <w:rPr>
          <w:rFonts w:ascii="Times New Roman" w:hAnsi="Times New Roman"/>
          <w:sz w:val="24"/>
          <w:szCs w:val="24"/>
        </w:rPr>
        <w:t xml:space="preserve">, но </w:t>
      </w:r>
      <w:r>
        <w:rPr>
          <w:rFonts w:ascii="Times New Roman" w:hAnsi="Times New Roman"/>
          <w:sz w:val="24"/>
          <w:szCs w:val="24"/>
        </w:rPr>
        <w:t xml:space="preserve"> не </w:t>
      </w:r>
      <w:r>
        <w:rPr>
          <w:rFonts w:ascii="Times New Roman" w:hAnsi="Times New Roman"/>
          <w:sz w:val="24"/>
          <w:szCs w:val="24"/>
        </w:rPr>
        <w:t xml:space="preserve">вправе</w:t>
      </w:r>
      <w:r>
        <w:rPr>
          <w:rFonts w:ascii="Times New Roman" w:hAnsi="Times New Roman"/>
          <w:sz w:val="24"/>
          <w:szCs w:val="24"/>
        </w:rPr>
        <w:t xml:space="preserve"> требовать замены п</w:t>
      </w:r>
      <w:r>
        <w:rPr>
          <w:rFonts w:ascii="Times New Roman" w:hAnsi="Times New Roman"/>
          <w:sz w:val="24"/>
          <w:szCs w:val="24"/>
        </w:rPr>
        <w:t xml:space="preserve">риза</w:t>
      </w:r>
      <w:r>
        <w:rPr>
          <w:rFonts w:ascii="Times New Roman" w:hAnsi="Times New Roman"/>
          <w:sz w:val="24"/>
          <w:szCs w:val="24"/>
        </w:rPr>
        <w:t xml:space="preserve"> на какой-либо </w:t>
      </w:r>
      <w:r>
        <w:rPr>
          <w:rFonts w:ascii="Times New Roman" w:hAnsi="Times New Roman"/>
          <w:sz w:val="24"/>
          <w:szCs w:val="24"/>
        </w:rPr>
        <w:t xml:space="preserve">его </w:t>
      </w:r>
      <w:r>
        <w:rPr>
          <w:rFonts w:ascii="Times New Roman" w:hAnsi="Times New Roman"/>
          <w:sz w:val="24"/>
          <w:szCs w:val="24"/>
        </w:rPr>
        <w:t xml:space="preserve">денежный </w:t>
      </w:r>
      <w:r>
        <w:rPr>
          <w:rFonts w:ascii="Times New Roman" w:hAnsi="Times New Roman"/>
          <w:sz w:val="24"/>
          <w:szCs w:val="24"/>
        </w:rPr>
        <w:t xml:space="preserve">эквивалент.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6.11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Участники Стимулирующего </w:t>
      </w:r>
      <w:r>
        <w:rPr>
          <w:rFonts w:ascii="Times New Roman" w:hAnsi="Times New Roman"/>
          <w:sz w:val="24"/>
          <w:szCs w:val="24"/>
        </w:rPr>
        <w:t xml:space="preserve">мероприятия</w:t>
      </w:r>
      <w:r>
        <w:rPr>
          <w:rFonts w:ascii="Times New Roman" w:hAnsi="Times New Roman"/>
          <w:sz w:val="24"/>
          <w:szCs w:val="24"/>
        </w:rPr>
        <w:t xml:space="preserve"> имеют право получить </w:t>
      </w:r>
      <w:r>
        <w:rPr>
          <w:rFonts w:ascii="Times New Roman" w:hAnsi="Times New Roman"/>
          <w:sz w:val="24"/>
          <w:szCs w:val="24"/>
        </w:rPr>
        <w:t xml:space="preserve">п</w:t>
      </w:r>
      <w:r>
        <w:rPr>
          <w:rFonts w:ascii="Times New Roman" w:hAnsi="Times New Roman"/>
          <w:sz w:val="24"/>
          <w:szCs w:val="24"/>
        </w:rPr>
        <w:t xml:space="preserve">риз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 порядке, </w:t>
      </w:r>
      <w:r>
        <w:rPr>
          <w:rFonts w:ascii="Times New Roman" w:hAnsi="Times New Roman"/>
          <w:sz w:val="24"/>
          <w:szCs w:val="24"/>
        </w:rPr>
        <w:t xml:space="preserve">месте и сроки, установленные настоящими Правилами, при выполнении всех необходимых действий, предусмотренных настоящими Правилами, а также при соблюдении требований, установленных</w:t>
      </w:r>
      <w:r>
        <w:rPr>
          <w:rFonts w:ascii="Times New Roman" w:hAnsi="Times New Roman"/>
          <w:sz w:val="24"/>
          <w:szCs w:val="24"/>
        </w:rPr>
        <w:t xml:space="preserve"> действующим законодательством Российской Федерации, в ином случае призы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участнику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не выдаются</w:t>
      </w:r>
      <w:r>
        <w:rPr>
          <w:rFonts w:ascii="Times New Roman" w:hAnsi="Times New Roman"/>
          <w:sz w:val="24"/>
          <w:szCs w:val="24"/>
        </w:rPr>
        <w:t xml:space="preserve">. Несоблюдение </w:t>
      </w:r>
      <w:r>
        <w:rPr>
          <w:rFonts w:ascii="Times New Roman" w:hAnsi="Times New Roman"/>
          <w:sz w:val="24"/>
          <w:szCs w:val="24"/>
        </w:rPr>
        <w:t xml:space="preserve">у</w:t>
      </w:r>
      <w:r>
        <w:rPr>
          <w:rFonts w:ascii="Times New Roman" w:hAnsi="Times New Roman"/>
          <w:sz w:val="24"/>
          <w:szCs w:val="24"/>
        </w:rPr>
        <w:t xml:space="preserve">частником настоящих Правил означает отказ </w:t>
      </w:r>
      <w:r>
        <w:rPr>
          <w:rFonts w:ascii="Times New Roman" w:hAnsi="Times New Roman"/>
          <w:sz w:val="24"/>
          <w:szCs w:val="24"/>
        </w:rPr>
        <w:t xml:space="preserve">у</w:t>
      </w:r>
      <w:r>
        <w:rPr>
          <w:rFonts w:ascii="Times New Roman" w:hAnsi="Times New Roman"/>
          <w:sz w:val="24"/>
          <w:szCs w:val="24"/>
        </w:rPr>
        <w:t xml:space="preserve">частника от участия в Стимулирующем мероприятии</w:t>
      </w:r>
      <w:r>
        <w:rPr>
          <w:rFonts w:ascii="Times New Roman" w:hAnsi="Times New Roman"/>
          <w:sz w:val="24"/>
          <w:szCs w:val="24"/>
        </w:rPr>
        <w:t xml:space="preserve"> и отказ от п</w:t>
      </w:r>
      <w:r>
        <w:rPr>
          <w:rFonts w:ascii="Times New Roman" w:hAnsi="Times New Roman"/>
          <w:sz w:val="24"/>
          <w:szCs w:val="24"/>
        </w:rPr>
        <w:t xml:space="preserve">риза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567"/>
          <w:tab w:val="left" w:leader="none" w:pos="813"/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6.12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рганизатор</w:t>
      </w:r>
      <w:r>
        <w:rPr>
          <w:rFonts w:ascii="Times New Roman" w:hAnsi="Times New Roman"/>
          <w:sz w:val="24"/>
          <w:szCs w:val="24"/>
        </w:rPr>
        <w:t xml:space="preserve">ы</w:t>
      </w:r>
      <w:r>
        <w:rPr>
          <w:rFonts w:ascii="Times New Roman" w:hAnsi="Times New Roman"/>
          <w:sz w:val="24"/>
          <w:szCs w:val="24"/>
        </w:rPr>
        <w:t xml:space="preserve">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вправе вносить изме</w:t>
      </w:r>
      <w:r>
        <w:rPr>
          <w:rFonts w:ascii="Times New Roman" w:hAnsi="Times New Roman"/>
          <w:sz w:val="24"/>
          <w:szCs w:val="24"/>
        </w:rPr>
        <w:t xml:space="preserve">нения в Правила проведения Стимулирующего мероприятия, о чём участники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уведомляются доп</w:t>
      </w:r>
      <w:r>
        <w:rPr>
          <w:rFonts w:ascii="Times New Roman" w:hAnsi="Times New Roman"/>
          <w:sz w:val="24"/>
          <w:szCs w:val="24"/>
        </w:rPr>
        <w:t xml:space="preserve">олнительно на сайте Организаторов</w:t>
      </w:r>
      <w:r>
        <w:rPr>
          <w:rFonts w:ascii="Times New Roman" w:hAnsi="Times New Roman"/>
          <w:sz w:val="24"/>
          <w:szCs w:val="24"/>
        </w:rPr>
        <w:t xml:space="preserve"> в сети Интернет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на сайте </w:t>
      </w:r>
      <w:r>
        <w:rPr>
          <w:rFonts w:ascii="Times New Roman" w:hAnsi="Times New Roman"/>
          <w:iCs/>
          <w:lang w:val="en-US" w:eastAsia="ru-RU"/>
        </w:rPr>
        <w:t xml:space="preserve">knkamur</w:t>
      </w:r>
      <w:r>
        <w:rPr>
          <w:rFonts w:ascii="Times New Roman" w:hAnsi="Times New Roman"/>
          <w:iCs/>
          <w:lang w:eastAsia="ru-RU"/>
        </w:rPr>
        <w:t xml:space="preserve">.</w:t>
      </w:r>
      <w:r>
        <w:rPr>
          <w:rFonts w:ascii="Times New Roman" w:hAnsi="Times New Roman"/>
          <w:iCs/>
          <w:lang w:val="en-US" w:eastAsia="ru-RU"/>
        </w:rPr>
        <w:t xml:space="preserve">ru</w:t>
      </w:r>
      <w:r>
        <w:rPr>
          <w:rFonts w:ascii="Times New Roman" w:hAnsi="Times New Roman"/>
          <w:iCs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355"/>
          <w:tab w:val="left" w:leader="none" w:pos="567"/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6.13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Организатор Акции не несёт ответственность за условия надлежащего обслуживания покупателей в </w:t>
      </w:r>
      <w:r>
        <w:rPr>
          <w:rFonts w:ascii="Times New Roman" w:hAnsi="Times New Roman"/>
          <w:sz w:val="24"/>
          <w:szCs w:val="24"/>
        </w:rPr>
        <w:t xml:space="preserve">супермаркетах </w:t>
      </w:r>
      <w:r>
        <w:rPr>
          <w:rFonts w:ascii="Times New Roman" w:hAnsi="Times New Roman"/>
          <w:sz w:val="24"/>
          <w:szCs w:val="24"/>
        </w:rPr>
        <w:t xml:space="preserve">Кэш</w:t>
      </w:r>
      <w:r>
        <w:rPr>
          <w:rFonts w:ascii="Times New Roman" w:hAnsi="Times New Roman"/>
          <w:sz w:val="24"/>
          <w:szCs w:val="24"/>
        </w:rPr>
        <w:t xml:space="preserve">&amp;</w:t>
      </w:r>
      <w:r>
        <w:rPr>
          <w:rFonts w:ascii="Times New Roman" w:hAnsi="Times New Roman"/>
          <w:sz w:val="24"/>
          <w:szCs w:val="24"/>
        </w:rPr>
        <w:t xml:space="preserve">Кэрри </w:t>
      </w:r>
      <w:r>
        <w:rPr>
          <w:rFonts w:ascii="Times New Roman" w:hAnsi="Times New Roman"/>
          <w:sz w:val="24"/>
          <w:szCs w:val="24"/>
        </w:rPr>
        <w:t xml:space="preserve"> и</w:t>
      </w:r>
      <w:r>
        <w:rPr>
          <w:rFonts w:ascii="Times New Roman" w:hAnsi="Times New Roman"/>
          <w:sz w:val="24"/>
          <w:szCs w:val="24"/>
        </w:rPr>
        <w:t xml:space="preserve"> не несет ответственности за работу сети Интернет.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355"/>
          <w:tab w:val="left" w:leader="none" w:pos="567"/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6.14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Изображение приза в реклам</w:t>
      </w:r>
      <w:r>
        <w:rPr>
          <w:rFonts w:ascii="Times New Roman" w:hAnsi="Times New Roman"/>
          <w:sz w:val="24"/>
          <w:szCs w:val="24"/>
        </w:rPr>
        <w:t xml:space="preserve">ных материалах может отличаться от заявленных призов.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line="240" w:lineRule="auto"/>
        <w:ind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7.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Призовой фонд</w:t>
      </w:r>
      <w:r>
        <w:rPr>
          <w:rFonts w:ascii="Times New Roman" w:hAnsi="Times New Roman"/>
          <w:b/>
          <w:sz w:val="24"/>
          <w:szCs w:val="24"/>
        </w:rPr>
        <w:t xml:space="preserve"> и порядок вручения призов</w:t>
      </w:r>
      <w:r>
        <w:rPr>
          <w:rFonts w:ascii="Times New Roman" w:hAnsi="Times New Roman"/>
          <w:b/>
          <w:sz w:val="24"/>
          <w:szCs w:val="24"/>
        </w:rPr>
        <w:t xml:space="preserve">: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901"/>
        <w:numPr>
          <w:ilvl w:val="1"/>
          <w:numId w:val="23"/>
        </w:numPr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Призовой фонд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образуе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ся за счет средств Организатора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формируется отдельно до момента определения обладателей приза и используется исключительно для целей вручения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призов участникам, признанных побед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ителями Стимулирующего мероприятия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numPr>
          <w:ilvl w:val="1"/>
          <w:numId w:val="23"/>
        </w:numPr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Общее к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личество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призов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tbl>
      <w:tblPr>
        <w:tblW w:w="10027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558"/>
        <w:gridCol w:w="5916"/>
        <w:gridCol w:w="1553"/>
      </w:tblGrid>
      <w:tr>
        <w:trPr>
          <w:trHeight w:val="317"/>
        </w:trPr>
        <w:tc>
          <w:tcPr>
            <w:tcBorders/>
            <w:tcW w:w="255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Borders/>
            <w:tcW w:w="5916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ПРИЗЫ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Borders/>
            <w:tcW w:w="1553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шт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</w:tr>
      <w:tr>
        <w:trPr>
          <w:trHeight w:val="651"/>
        </w:trPr>
        <w:tc>
          <w:tcPr>
            <w:tcBorders/>
            <w:tcW w:w="255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901"/>
              <w:pBdr/>
              <w:spacing w:after="12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901"/>
              <w:pBdr/>
              <w:spacing w:after="12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Промежуточные призы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/>
            <w:tcW w:w="5916" w:type="dxa"/>
            <w:vAlign w:val="bottom"/>
            <w:textDirection w:val="lrTb"/>
            <w:noWrap/>
          </w:tcPr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Бассейн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Батут - 1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Велосипед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Шезлонг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Мангал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Палатка – 1 шт</w:t>
            </w:r>
            <w:r/>
          </w:p>
        </w:tc>
        <w:tc>
          <w:tcPr>
            <w:tcBorders/>
            <w:tcW w:w="1553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17"/>
        </w:trPr>
        <w:tc>
          <w:tcPr>
            <w:tcBorders/>
            <w:tcW w:w="255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Призы Финального розыгрыша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/>
            <w:tcW w:w="5916" w:type="dxa"/>
            <w:vAlign w:val="bottom"/>
            <w:textDirection w:val="lrTb"/>
            <w:noWrap/>
          </w:tcPr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Набор для пикника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Сапборд – 1</w:t>
            </w:r>
            <w:r>
              <w:t xml:space="preserve">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Палатка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Мангал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Батут –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Шезлонг – 1 шт 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Велосипед</w:t>
            </w:r>
            <w:r>
              <w:t xml:space="preserve"> - 1 шт</w:t>
            </w:r>
            <w:r/>
          </w:p>
          <w:p>
            <w:pPr>
              <w:pStyle w:val="913"/>
              <w:pBdr/>
              <w:shd w:val="clear" w:color="auto" w:fill="f8f8f8"/>
              <w:spacing/>
              <w:ind/>
              <w:jc w:val="center"/>
              <w:rPr/>
            </w:pPr>
            <w:r>
              <w:t xml:space="preserve">Квадроцикл</w:t>
            </w:r>
            <w:r>
              <w:t xml:space="preserve"> – 1 шт</w:t>
            </w:r>
            <w:r/>
          </w:p>
        </w:tc>
        <w:tc>
          <w:tcPr>
            <w:tcBorders/>
            <w:tcW w:w="1553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17"/>
        </w:trPr>
        <w:tc>
          <w:tcPr>
            <w:tcBorders/>
            <w:tcW w:w="255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/>
            <w:tcW w:w="5916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Всего: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/>
            <w:tcW w:w="1553" w:type="dxa"/>
            <w:vAlign w:val="bottom"/>
            <w:textDirection w:val="lrTb"/>
            <w:noWrap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14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7.3. </w:t>
      </w:r>
      <w:r>
        <w:rPr>
          <w:rFonts w:ascii="Times New Roman" w:hAnsi="Times New Roman"/>
          <w:sz w:val="24"/>
          <w:szCs w:val="24"/>
          <w:lang w:eastAsia="ru-RU"/>
        </w:rPr>
        <w:t xml:space="preserve">О</w:t>
      </w:r>
      <w:r>
        <w:rPr>
          <w:rFonts w:ascii="Times New Roman" w:hAnsi="Times New Roman"/>
          <w:sz w:val="24"/>
          <w:szCs w:val="24"/>
          <w:lang w:eastAsia="ru-RU"/>
        </w:rPr>
        <w:t xml:space="preserve">рганизатор</w:t>
      </w:r>
      <w:r>
        <w:rPr>
          <w:rFonts w:ascii="Times New Roman" w:hAnsi="Times New Roman"/>
          <w:sz w:val="24"/>
          <w:szCs w:val="24"/>
          <w:lang w:eastAsia="ru-RU"/>
        </w:rPr>
        <w:t xml:space="preserve">ы</w:t>
      </w:r>
      <w:r>
        <w:rPr>
          <w:rFonts w:ascii="Times New Roman" w:hAnsi="Times New Roman"/>
          <w:sz w:val="24"/>
          <w:szCs w:val="24"/>
          <w:lang w:eastAsia="ru-RU"/>
        </w:rPr>
        <w:t xml:space="preserve"> вправе в рамках Стимулирующего мероприятия</w:t>
      </w:r>
      <w:r>
        <w:rPr>
          <w:rFonts w:ascii="Times New Roman" w:hAnsi="Times New Roman"/>
          <w:sz w:val="24"/>
          <w:szCs w:val="24"/>
          <w:lang w:eastAsia="ru-RU"/>
        </w:rPr>
        <w:t xml:space="preserve"> изменить количество и наименование призов, уведомив об этом участников </w:t>
      </w:r>
      <w:r>
        <w:rPr>
          <w:rFonts w:ascii="Times New Roman" w:hAnsi="Times New Roman"/>
          <w:sz w:val="24"/>
          <w:szCs w:val="24"/>
          <w:lang w:eastAsia="ru-RU"/>
        </w:rPr>
        <w:t xml:space="preserve">Стимулирующего мероприятия </w:t>
      </w:r>
      <w:r>
        <w:rPr>
          <w:rFonts w:ascii="Times New Roman" w:hAnsi="Times New Roman"/>
          <w:sz w:val="24"/>
          <w:szCs w:val="24"/>
          <w:lang w:eastAsia="ru-RU"/>
        </w:rPr>
        <w:t xml:space="preserve">не позднее, чем за 1 (одну) неделю до такого изменения. Информация об изменении публикуется на сайте </w:t>
      </w:r>
      <w:r>
        <w:rPr>
          <w:rFonts w:ascii="Times New Roman" w:hAnsi="Times New Roman"/>
          <w:sz w:val="24"/>
          <w:szCs w:val="24"/>
        </w:rPr>
        <w:t xml:space="preserve">в сети Интернет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11" w:tooltip="https://knkamur.ru/dvizh/" w:history="1">
        <w:r>
          <w:rPr>
            <w:rStyle w:val="911"/>
            <w:rFonts w:ascii="Arial" w:hAnsi="Arial" w:eastAsia="Arial" w:cs="Arial"/>
            <w:color w:val="0b66c3"/>
            <w:sz w:val="20"/>
            <w:highlight w:val="white"/>
            <w:u w:val="none"/>
          </w:rPr>
          <w:t xml:space="preserve">https://knkamur.ru/dvizh/</w:t>
        </w:r>
      </w:hyperlink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7.4.</w:t>
      </w:r>
      <w:r>
        <w:rPr>
          <w:rFonts w:ascii="Times New Roman" w:hAnsi="Times New Roman"/>
          <w:sz w:val="24"/>
          <w:szCs w:val="24"/>
          <w:lang w:eastAsia="ru-RU"/>
        </w:rPr>
        <w:t xml:space="preserve"> Промежуточные п</w:t>
      </w:r>
      <w:r>
        <w:rPr>
          <w:rFonts w:ascii="Times New Roman" w:hAnsi="Times New Roman"/>
          <w:sz w:val="24"/>
          <w:szCs w:val="24"/>
          <w:lang w:eastAsia="ru-RU"/>
        </w:rPr>
        <w:t xml:space="preserve">риз</w:t>
      </w:r>
      <w:r>
        <w:rPr>
          <w:rFonts w:ascii="Times New Roman" w:hAnsi="Times New Roman"/>
          <w:sz w:val="24"/>
          <w:szCs w:val="24"/>
          <w:lang w:eastAsia="ru-RU"/>
        </w:rPr>
        <w:t xml:space="preserve">ы</w:t>
      </w:r>
      <w:r>
        <w:rPr>
          <w:rFonts w:ascii="Times New Roman" w:hAnsi="Times New Roman"/>
          <w:sz w:val="24"/>
          <w:szCs w:val="24"/>
          <w:lang w:eastAsia="ru-RU"/>
        </w:rPr>
        <w:t xml:space="preserve"> разыгрываются с помощью генератора случайных чисел, </w:t>
      </w:r>
      <w:r>
        <w:rPr>
          <w:rFonts w:ascii="Times New Roman" w:hAnsi="Times New Roman"/>
          <w:sz w:val="24"/>
          <w:szCs w:val="24"/>
          <w:lang w:eastAsia="ru-RU"/>
        </w:rPr>
        <w:t xml:space="preserve"> выдаю</w:t>
      </w:r>
      <w:r>
        <w:rPr>
          <w:rFonts w:ascii="Times New Roman" w:hAnsi="Times New Roman"/>
          <w:sz w:val="24"/>
          <w:szCs w:val="24"/>
          <w:lang w:eastAsia="ru-RU"/>
        </w:rPr>
        <w:t xml:space="preserve">тся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Победителю </w:t>
      </w:r>
      <w:r>
        <w:rPr>
          <w:rFonts w:ascii="Times New Roman" w:hAnsi="Times New Roman"/>
          <w:sz w:val="24"/>
          <w:szCs w:val="24"/>
          <w:lang w:eastAsia="ru-RU"/>
        </w:rPr>
        <w:t xml:space="preserve"> путем обращения к нему по номеру телефону</w:t>
      </w:r>
      <w:r>
        <w:rPr>
          <w:rFonts w:ascii="Times New Roman" w:hAnsi="Times New Roman"/>
          <w:sz w:val="24"/>
          <w:szCs w:val="24"/>
          <w:lang w:eastAsia="ru-RU"/>
        </w:rPr>
        <w:t xml:space="preserve">, указанном</w:t>
      </w:r>
      <w:r>
        <w:rPr>
          <w:rFonts w:ascii="Times New Roman" w:hAnsi="Times New Roman"/>
          <w:sz w:val="24"/>
          <w:szCs w:val="24"/>
          <w:lang w:eastAsia="ru-RU"/>
        </w:rPr>
        <w:t xml:space="preserve">у</w:t>
      </w:r>
      <w:r>
        <w:rPr>
          <w:rFonts w:ascii="Times New Roman" w:hAnsi="Times New Roman"/>
          <w:sz w:val="24"/>
          <w:szCs w:val="24"/>
          <w:lang w:eastAsia="ru-RU"/>
        </w:rPr>
        <w:t xml:space="preserve"> победителем</w:t>
      </w:r>
      <w:r>
        <w:rPr>
          <w:rFonts w:ascii="Times New Roman" w:hAnsi="Times New Roman"/>
          <w:sz w:val="24"/>
          <w:szCs w:val="24"/>
          <w:lang w:eastAsia="ru-RU"/>
        </w:rPr>
        <w:t xml:space="preserve"> во время регистрации</w:t>
      </w:r>
      <w:r>
        <w:rPr>
          <w:rFonts w:ascii="Times New Roman" w:hAnsi="Times New Roman"/>
          <w:sz w:val="24"/>
          <w:szCs w:val="24"/>
          <w:lang w:eastAsia="ru-RU"/>
        </w:rPr>
        <w:t xml:space="preserve">,</w:t>
      </w:r>
      <w:r>
        <w:rPr>
          <w:rFonts w:ascii="Times New Roman" w:hAnsi="Times New Roman"/>
          <w:sz w:val="24"/>
          <w:szCs w:val="24"/>
          <w:lang w:eastAsia="ru-RU"/>
        </w:rPr>
        <w:t xml:space="preserve"> в течение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7</w:t>
      </w:r>
      <w:r>
        <w:rPr>
          <w:rFonts w:ascii="Times New Roman" w:hAnsi="Times New Roman"/>
          <w:sz w:val="24"/>
          <w:szCs w:val="24"/>
          <w:lang w:eastAsia="ru-RU"/>
        </w:rPr>
        <w:t xml:space="preserve"> дней</w:t>
      </w:r>
      <w:r>
        <w:rPr>
          <w:rFonts w:ascii="Times New Roman" w:hAnsi="Times New Roman"/>
          <w:sz w:val="24"/>
          <w:szCs w:val="24"/>
          <w:lang w:eastAsia="ru-RU"/>
        </w:rPr>
        <w:t xml:space="preserve"> с момента розыгрыша приза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7.5. Призы Финального розыгрыша разыгрываются </w:t>
      </w:r>
      <w:r>
        <w:rPr>
          <w:rFonts w:ascii="Times New Roman" w:hAnsi="Times New Roman"/>
          <w:sz w:val="24"/>
          <w:szCs w:val="24"/>
          <w:lang w:eastAsia="ru-RU"/>
        </w:rPr>
        <w:t xml:space="preserve">31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ма</w:t>
      </w:r>
      <w:r>
        <w:rPr>
          <w:rFonts w:ascii="Times New Roman" w:hAnsi="Times New Roman"/>
          <w:sz w:val="24"/>
          <w:szCs w:val="24"/>
          <w:lang w:eastAsia="ru-RU"/>
        </w:rPr>
        <w:t xml:space="preserve">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в 14.00 в ТРЦ Острова, г.</w:t>
      </w:r>
      <w:r>
        <w:rPr>
          <w:rFonts w:ascii="Times New Roman" w:hAnsi="Times New Roman"/>
          <w:sz w:val="24"/>
          <w:szCs w:val="24"/>
          <w:lang w:eastAsia="ru-RU"/>
        </w:rPr>
        <w:t xml:space="preserve"> Благовещенск, ул. Мухина, 114</w:t>
      </w:r>
      <w:r>
        <w:rPr>
          <w:rFonts w:ascii="Times New Roman" w:hAnsi="Times New Roman"/>
          <w:sz w:val="24"/>
          <w:szCs w:val="24"/>
          <w:lang w:eastAsia="ru-RU"/>
        </w:rPr>
        <w:t xml:space="preserve"> (Старый город)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среди присутствующих на розыгрыше лично</w:t>
      </w:r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4"/>
          <w:szCs w:val="24"/>
          <w:lang w:eastAsia="ru-RU"/>
        </w:rPr>
        <w:t xml:space="preserve"> зарегистрированных участников </w:t>
      </w:r>
      <w:r>
        <w:rPr>
          <w:rFonts w:ascii="Times New Roman" w:hAnsi="Times New Roman"/>
          <w:sz w:val="24"/>
          <w:szCs w:val="24"/>
          <w:lang w:eastAsia="ru-RU"/>
        </w:rPr>
        <w:t xml:space="preserve">с помощью генератора случайных чисел.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7.6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Претензии относительно качества призов подлеж</w:t>
      </w:r>
      <w:r>
        <w:rPr>
          <w:rFonts w:ascii="Times New Roman" w:hAnsi="Times New Roman"/>
          <w:sz w:val="24"/>
          <w:szCs w:val="24"/>
        </w:rPr>
        <w:t xml:space="preserve">ат предъявлению участником Стимулирующего мероприятия</w:t>
      </w:r>
      <w:r>
        <w:rPr>
          <w:rFonts w:ascii="Times New Roman" w:hAnsi="Times New Roman"/>
          <w:sz w:val="24"/>
          <w:szCs w:val="24"/>
        </w:rPr>
        <w:t xml:space="preserve"> производителю данных призов. Внешний вид призов может отличаться от их изображения в рекламных материалах.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7.7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Неполученные участник</w:t>
      </w:r>
      <w:r>
        <w:rPr>
          <w:rFonts w:ascii="Times New Roman" w:hAnsi="Times New Roman"/>
          <w:sz w:val="24"/>
          <w:szCs w:val="24"/>
          <w:lang w:eastAsia="ru-RU"/>
        </w:rPr>
        <w:t xml:space="preserve">ами </w:t>
      </w:r>
      <w:r>
        <w:rPr>
          <w:rFonts w:ascii="Times New Roman" w:hAnsi="Times New Roman"/>
          <w:sz w:val="24"/>
          <w:szCs w:val="24"/>
          <w:lang w:eastAsia="ru-RU"/>
        </w:rPr>
        <w:t xml:space="preserve">призы </w:t>
      </w:r>
      <w:r>
        <w:rPr>
          <w:rFonts w:ascii="Times New Roman" w:hAnsi="Times New Roman"/>
          <w:sz w:val="24"/>
          <w:szCs w:val="24"/>
          <w:lang w:eastAsia="ru-RU"/>
        </w:rPr>
        <w:t xml:space="preserve">не по вине Организато</w:t>
      </w:r>
      <w:r>
        <w:rPr>
          <w:rFonts w:ascii="Times New Roman" w:hAnsi="Times New Roman"/>
          <w:sz w:val="24"/>
          <w:szCs w:val="24"/>
          <w:lang w:eastAsia="ru-RU"/>
        </w:rPr>
        <w:t xml:space="preserve">ра </w:t>
      </w:r>
      <w:r>
        <w:rPr>
          <w:rFonts w:ascii="Times New Roman" w:hAnsi="Times New Roman"/>
          <w:sz w:val="24"/>
          <w:szCs w:val="24"/>
          <w:lang w:eastAsia="ru-RU"/>
        </w:rPr>
        <w:t xml:space="preserve">посту</w:t>
      </w:r>
      <w:r>
        <w:rPr>
          <w:rFonts w:ascii="Times New Roman" w:hAnsi="Times New Roman"/>
          <w:sz w:val="24"/>
          <w:szCs w:val="24"/>
          <w:lang w:eastAsia="ru-RU"/>
        </w:rPr>
        <w:t xml:space="preserve">пают в распоряжение Организатор</w:t>
      </w:r>
      <w:r>
        <w:rPr>
          <w:rFonts w:ascii="Times New Roman" w:hAnsi="Times New Roman"/>
          <w:sz w:val="24"/>
          <w:szCs w:val="24"/>
          <w:lang w:eastAsia="ru-RU"/>
        </w:rPr>
        <w:t xml:space="preserve">а</w:t>
      </w:r>
      <w:r>
        <w:rPr>
          <w:rFonts w:ascii="Times New Roman" w:hAnsi="Times New Roman"/>
          <w:sz w:val="24"/>
          <w:szCs w:val="24"/>
          <w:lang w:eastAsia="ru-RU"/>
        </w:rPr>
        <w:t xml:space="preserve"> после истечения 7 календарных дней с момента окончания Розыгрыша.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7.8.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В Стимулирующем мероприятии запрещается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принимать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участие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сотрудникам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торговых объектов «Кэш&amp;Кэрри» и их близким родственникам, сотрудникам и представителям  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Организатора Стимулирующего мероприятия и аффилированным с ним лицам, а также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сотрудникам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и представителям любых других юридических лиц, имеющих отношение к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организации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и/или проведению Стимулирующего мероприятия.  Лица, соответствующие вышеуказанным требованиям, не имеют право на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участие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в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 Стимулирующем мероприятии и право на получение призов.</w:t>
      </w:r>
      <w:r>
        <w:rPr>
          <w:rFonts w:ascii="Arial" w:hAnsi="Arial" w:cs="Arial"/>
          <w:sz w:val="20"/>
          <w:szCs w:val="20"/>
          <w:shd w:val="clear" w:color="auto" w:fill="ffffff"/>
        </w:rPr>
        <w:t xml:space="preserve"> </w:t>
      </w:r>
      <w:r>
        <w:rPr>
          <w:rFonts w:ascii="Times New Roman" w:hAnsi="Times New Roman"/>
          <w:sz w:val="24"/>
          <w:szCs w:val="24"/>
          <w:shd w:val="clear" w:color="auto" w:fill="ffffff"/>
        </w:rPr>
      </w:r>
      <w:r>
        <w:rPr>
          <w:rFonts w:ascii="Times New Roman" w:hAnsi="Times New Roman"/>
          <w:sz w:val="24"/>
          <w:szCs w:val="24"/>
          <w:shd w:val="clear" w:color="auto" w:fill="ffffff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7.9</w:t>
      </w:r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При получении призов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Победитель должен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предоставить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:</w:t>
      </w:r>
      <w:r>
        <w:rPr>
          <w:rFonts w:ascii="Times New Roman" w:hAnsi="Times New Roman"/>
          <w:b/>
          <w:sz w:val="24"/>
          <w:szCs w:val="24"/>
          <w:lang w:eastAsia="ru-RU"/>
        </w:rPr>
      </w:r>
      <w:r>
        <w:rPr>
          <w:rFonts w:ascii="Times New Roman" w:hAnsi="Times New Roman"/>
          <w:b/>
          <w:sz w:val="24"/>
          <w:szCs w:val="24"/>
          <w:lang w:eastAsia="ru-RU"/>
        </w:rPr>
      </w:r>
    </w:p>
    <w:p>
      <w:pPr>
        <w:pStyle w:val="901"/>
        <w:numPr>
          <w:ilvl w:val="0"/>
          <w:numId w:val="28"/>
        </w:numPr>
        <w:pBdr/>
        <w:spacing w:after="120" w:before="100" w:beforeAutospacing="1" w:line="240" w:lineRule="auto"/>
        <w:ind w:firstLine="0"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заявление, что</w:t>
      </w:r>
      <w:r>
        <w:rPr>
          <w:rFonts w:ascii="Times New Roman" w:hAnsi="Times New Roman"/>
          <w:sz w:val="24"/>
          <w:szCs w:val="24"/>
          <w:lang w:eastAsia="ru-RU"/>
        </w:rPr>
        <w:t xml:space="preserve"> Организатор Розыгрыша ознакомил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П</w:t>
      </w:r>
      <w:r>
        <w:rPr>
          <w:rFonts w:ascii="Times New Roman" w:hAnsi="Times New Roman"/>
          <w:sz w:val="24"/>
          <w:szCs w:val="24"/>
          <w:lang w:eastAsia="ru-RU"/>
        </w:rPr>
        <w:t xml:space="preserve">обедител</w:t>
      </w:r>
      <w:r>
        <w:rPr>
          <w:rFonts w:ascii="Times New Roman" w:hAnsi="Times New Roman"/>
          <w:sz w:val="24"/>
          <w:szCs w:val="24"/>
          <w:lang w:eastAsia="ru-RU"/>
        </w:rPr>
        <w:t xml:space="preserve">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о том, что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законодател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ьно Победитель обязан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уплатить соответствующие налоги в связи с получением призов (выигрышей) от организаций, стоимость которых превышает 4 000 (четыре тысячи) рублей за отчетный период (календарный год).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numPr>
          <w:ilvl w:val="0"/>
          <w:numId w:val="28"/>
        </w:numPr>
        <w:pBdr/>
        <w:tabs>
          <w:tab w:val="left" w:leader="none" w:pos="142"/>
          <w:tab w:val="left" w:leader="none" w:pos="851"/>
        </w:tabs>
        <w:spacing w:after="120" w:line="240" w:lineRule="auto"/>
        <w:ind w:firstLine="0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согласие на </w:t>
      </w:r>
      <w:r>
        <w:rPr>
          <w:rFonts w:ascii="Times New Roman" w:hAnsi="Times New Roman"/>
          <w:sz w:val="24"/>
          <w:szCs w:val="24"/>
        </w:rPr>
        <w:t xml:space="preserve">сбор, хранение, обработку, систематизацию, накопление, уточнение (обновление, изменение), распространение (в том числе передачу), обезличивание, блокирование, уничтожение персональных данных, указанных участником стимулирующего мероприятия.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numPr>
          <w:ilvl w:val="0"/>
          <w:numId w:val="28"/>
        </w:numPr>
        <w:pBdr/>
        <w:spacing w:after="120" w:before="100" w:beforeAutospacing="1" w:line="240" w:lineRule="auto"/>
        <w:ind w:firstLine="0"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Паспорт гражданина РФ, </w:t>
      </w:r>
      <w:r>
        <w:rPr>
          <w:rFonts w:ascii="Times New Roman" w:hAnsi="Times New Roman"/>
          <w:sz w:val="24"/>
          <w:szCs w:val="24"/>
          <w:lang w:eastAsia="ru-RU"/>
        </w:rPr>
        <w:t xml:space="preserve">копии страниц своего паспорта гражданина РФ, включая страницу с актуальным адресом регистрации; 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numPr>
          <w:ilvl w:val="0"/>
          <w:numId w:val="28"/>
        </w:numPr>
        <w:pBdr/>
        <w:spacing w:after="120" w:before="100" w:beforeAutospacing="1" w:line="240" w:lineRule="auto"/>
        <w:ind w:firstLine="0"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сканированную копию свидетельства о постановке на учет физического лица в налоговом органе на территории Российской Федерации (свидетельство ИНН); 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01"/>
        <w:numPr>
          <w:ilvl w:val="0"/>
          <w:numId w:val="28"/>
        </w:numPr>
        <w:pBdr/>
        <w:spacing w:after="120" w:before="100" w:beforeAutospacing="1" w:line="240" w:lineRule="auto"/>
        <w:ind w:firstLine="0"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подписать </w:t>
      </w:r>
      <w:r>
        <w:rPr>
          <w:rFonts w:ascii="Times New Roman" w:hAnsi="Times New Roman"/>
          <w:sz w:val="24"/>
          <w:szCs w:val="24"/>
          <w:lang w:eastAsia="ru-RU"/>
        </w:rPr>
        <w:t xml:space="preserve">акт приема-передачи Приза; 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931"/>
        <w:keepNext w:val="true"/>
        <w:keepLines w:val="true"/>
        <w:pBdr/>
        <w:shd w:val="clear" w:color="auto" w:fill="auto"/>
        <w:tabs>
          <w:tab w:val="left" w:leader="none" w:pos="567"/>
        </w:tabs>
        <w:spacing w:after="120" w:before="0"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31"/>
        <w:keepNext w:val="true"/>
        <w:keepLines w:val="true"/>
        <w:pBdr/>
        <w:shd w:val="clear" w:color="auto" w:fill="auto"/>
        <w:tabs>
          <w:tab w:val="left" w:leader="none" w:pos="567"/>
        </w:tabs>
        <w:spacing w:after="120" w:before="0"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8.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Розыгрыш призов: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01"/>
        <w:widowControl w:val="false"/>
        <w:numPr>
          <w:ilvl w:val="1"/>
          <w:numId w:val="24"/>
        </w:numPr>
        <w:pBdr/>
        <w:tabs>
          <w:tab w:val="left" w:leader="none" w:pos="851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Дата, время и место розыгрыша призов Акции: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numPr>
          <w:ilvl w:val="1"/>
          <w:numId w:val="24"/>
        </w:numPr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Даты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промежуточных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озыгрыш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ей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призов: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widowControl w:val="false"/>
        <w:pBdr/>
        <w:tabs>
          <w:tab w:val="left" w:leader="none" w:pos="851"/>
        </w:tabs>
        <w:spacing w:after="12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Призы будут разыгрываться он</w:t>
      </w:r>
      <w:r>
        <w:rPr>
          <w:rFonts w:ascii="Times New Roman" w:hAnsi="Times New Roman"/>
          <w:sz w:val="24"/>
          <w:szCs w:val="24"/>
        </w:rPr>
        <w:t xml:space="preserve">лайн согласно графику даты розыгрыша призов.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tbl>
      <w:tblPr>
        <w:tblW w:w="8100" w:type="dxa"/>
        <w:jc w:val="center"/>
        <w:tblInd w:w="-1378" w:type="dxa"/>
        <w:tblBorders/>
        <w:tblLayout w:type="fixed"/>
        <w:tblCellMar>
          <w:left w:w="10" w:type="dxa"/>
          <w:top w:w="0" w:type="dxa"/>
          <w:right w:w="10" w:type="dxa"/>
          <w:bottom w:w="0" w:type="dxa"/>
        </w:tblCellMar>
        <w:tblLook w:val="04A0" w:firstRow="1" w:lastRow="0" w:firstColumn="1" w:lastColumn="0" w:noHBand="0" w:noVBand="1"/>
      </w:tblPr>
      <w:tblGrid>
        <w:gridCol w:w="3952"/>
        <w:gridCol w:w="4148"/>
      </w:tblGrid>
      <w:tr>
        <w:trPr>
          <w:trHeight w:val="81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</w:tcBorders>
            <w:tcW w:w="3952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Дата проведения розыгрыша призов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414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Время проведения розыгрыша призов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149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952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апреля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4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С 08.00 до 17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.00 местного времени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149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952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Style w:val="929"/>
                <w:rFonts w:eastAsia="Calibri"/>
                <w:sz w:val="24"/>
                <w:szCs w:val="24"/>
              </w:rPr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15 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мая 2025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 года</w:t>
            </w:r>
            <w:r>
              <w:rPr>
                <w:rStyle w:val="929"/>
                <w:rFonts w:eastAsia="Calibri"/>
                <w:sz w:val="24"/>
                <w:szCs w:val="24"/>
              </w:rPr>
            </w:r>
            <w:r>
              <w:rPr>
                <w:rStyle w:val="929"/>
                <w:rFonts w:eastAsia="Calibri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4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/>
              <w:ind/>
              <w:jc w:val="center"/>
              <w:rPr/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С 08.00 до 17.00 местного времени</w:t>
            </w:r>
            <w:r/>
          </w:p>
        </w:tc>
      </w:tr>
    </w:tbl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 w:left="360"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numPr>
          <w:ilvl w:val="1"/>
          <w:numId w:val="24"/>
        </w:numPr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Дата Финального Розыгрыша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призов: 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Призы будут разыгрываться</w:t>
      </w:r>
      <w:r>
        <w:rPr>
          <w:rFonts w:ascii="Times New Roman" w:hAnsi="Times New Roman"/>
          <w:sz w:val="24"/>
          <w:szCs w:val="24"/>
        </w:rPr>
        <w:t xml:space="preserve"> только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среди всех присутствующих лично, зарегистрированных Участников в ТРЦ Острова, г. Благовещенск, ул. Мухина, 114 (</w:t>
      </w:r>
      <w:r>
        <w:rPr>
          <w:rFonts w:ascii="Times New Roman" w:hAnsi="Times New Roman"/>
          <w:sz w:val="24"/>
          <w:szCs w:val="24"/>
        </w:rPr>
        <w:t xml:space="preserve">Старый город</w:t>
      </w:r>
      <w:r>
        <w:rPr>
          <w:rFonts w:ascii="Times New Roman" w:hAnsi="Times New Roman"/>
          <w:sz w:val="24"/>
          <w:szCs w:val="24"/>
        </w:rPr>
        <w:t xml:space="preserve">)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tbl>
      <w:tblPr>
        <w:tblW w:w="8100" w:type="dxa"/>
        <w:jc w:val="center"/>
        <w:tblInd w:w="-1378" w:type="dxa"/>
        <w:tblBorders/>
        <w:tblLayout w:type="fixed"/>
        <w:tblCellMar>
          <w:left w:w="10" w:type="dxa"/>
          <w:top w:w="0" w:type="dxa"/>
          <w:right w:w="10" w:type="dxa"/>
          <w:bottom w:w="0" w:type="dxa"/>
        </w:tblCellMar>
        <w:tblLook w:val="04A0" w:firstRow="1" w:lastRow="0" w:firstColumn="1" w:lastColumn="0" w:noHBand="0" w:noVBand="1"/>
      </w:tblPr>
      <w:tblGrid>
        <w:gridCol w:w="3952"/>
        <w:gridCol w:w="4148"/>
      </w:tblGrid>
      <w:tr>
        <w:trPr>
          <w:trHeight w:val="81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</w:tcBorders>
            <w:tcW w:w="3952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Дата проведения розыгрыша призов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4148" w:type="dxa"/>
            <w:vAlign w:val="top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8"/>
                <w:rFonts w:eastAsia="Calibri"/>
                <w:sz w:val="24"/>
                <w:szCs w:val="24"/>
              </w:rPr>
              <w:t xml:space="preserve">Время проведения розыгрыша призов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149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952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48" w:type="dxa"/>
            <w:vAlign w:val="center"/>
            <w:textDirection w:val="lrTb"/>
            <w:noWrap w:val="false"/>
          </w:tcPr>
          <w:p>
            <w:pPr>
              <w:pStyle w:val="901"/>
              <w:pBdr/>
              <w:spacing w:after="120" w:line="240" w:lineRule="auto"/>
              <w:ind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29"/>
                <w:rFonts w:eastAsia="Calibri"/>
                <w:sz w:val="24"/>
                <w:szCs w:val="24"/>
              </w:rPr>
              <w:t xml:space="preserve">С 14.00 до 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16.00</w:t>
            </w:r>
            <w:r>
              <w:rPr>
                <w:rStyle w:val="929"/>
                <w:rFonts w:eastAsia="Calibri"/>
                <w:sz w:val="24"/>
                <w:szCs w:val="24"/>
              </w:rPr>
              <w:t xml:space="preserve"> местного времени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</w:tbl>
    <w:p>
      <w:pPr>
        <w:pStyle w:val="901"/>
        <w:pBdr/>
        <w:spacing w:after="120" w:before="100" w:beforeAutospacing="1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pBdr/>
        <w:spacing w:after="120" w:before="100" w:beforeAutospacing="1" w:line="240" w:lineRule="auto"/>
        <w:ind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8.4.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Датой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исполнения Организатором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своей обязанн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ости по вручению приза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является дата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его получения победителем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901"/>
        <w:widowControl w:val="false"/>
        <w:pBdr/>
        <w:tabs>
          <w:tab w:val="left" w:leader="none" w:pos="426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8.5. </w:t>
      </w:r>
      <w:r>
        <w:rPr>
          <w:rFonts w:ascii="Times New Roman" w:hAnsi="Times New Roman"/>
          <w:sz w:val="24"/>
          <w:szCs w:val="24"/>
        </w:rPr>
        <w:t xml:space="preserve">Для розыгрыша призов Организатором создается комиссия, состоящая не менее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426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чем из 3 (трех) представителей организатора.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426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8.6.</w:t>
      </w:r>
      <w:r>
        <w:rPr>
          <w:rFonts w:ascii="Times New Roman" w:hAnsi="Times New Roman"/>
          <w:sz w:val="24"/>
          <w:szCs w:val="24"/>
        </w:rPr>
        <w:t xml:space="preserve"> Результаты розыгрыша оформляются протоколом комиссии. Протокол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подписывается всеми членами комиссии.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426"/>
        </w:tabs>
        <w:spacing w:after="120" w:line="240" w:lineRule="auto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8.7</w:t>
      </w:r>
      <w:r>
        <w:rPr>
          <w:rFonts w:ascii="Times New Roman" w:hAnsi="Times New Roman"/>
          <w:sz w:val="24"/>
          <w:szCs w:val="24"/>
        </w:rPr>
        <w:t xml:space="preserve">. Результаты розыгрыша подлежат </w:t>
      </w:r>
      <w:r>
        <w:rPr>
          <w:rFonts w:ascii="Times New Roman" w:hAnsi="Times New Roman"/>
          <w:sz w:val="24"/>
          <w:szCs w:val="24"/>
        </w:rPr>
        <w:t xml:space="preserve">опубликованию на интернет сайте: </w:t>
      </w:r>
      <w:r/>
      <w:hyperlink r:id="rId12" w:tooltip="https://knkamur.ru/dvizh/" w:history="1">
        <w:r>
          <w:rPr>
            <w:rStyle w:val="911"/>
            <w:rFonts w:ascii="Arial" w:hAnsi="Arial" w:eastAsia="Arial" w:cs="Arial"/>
            <w:color w:val="0b66c3"/>
            <w:sz w:val="20"/>
            <w:highlight w:val="white"/>
            <w:u w:val="none"/>
          </w:rPr>
          <w:t xml:space="preserve">https://knkamur.ru/dvizh/</w:t>
        </w:r>
      </w:hyperlink>
      <w:r/>
      <w:r>
        <w:rPr>
          <w:rFonts w:ascii="Times New Roman" w:hAnsi="Times New Roman"/>
          <w:sz w:val="24"/>
          <w:szCs w:val="24"/>
        </w:rPr>
      </w:r>
    </w:p>
    <w:p>
      <w:pPr>
        <w:pStyle w:val="901"/>
        <w:widowControl w:val="false"/>
        <w:pBdr/>
        <w:tabs>
          <w:tab w:val="left" w:leader="none" w:pos="426"/>
        </w:tabs>
        <w:spacing w:after="12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1"/>
        <w:pBdr/>
        <w:spacing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Подробную информацию об</w:t>
      </w:r>
      <w:r>
        <w:rPr>
          <w:rFonts w:ascii="Times New Roman" w:hAnsi="Times New Roman"/>
        </w:rPr>
        <w:t xml:space="preserve"> организаторе мероприятия, о правилах его проведения, об условиях участия (месте, сроке), о количестве призов или выигрышей по результатам акции, месте, порядке и сроках получения призов Вы можете узнать в полных правилах Мероприятия, которые размещены на </w:t>
      </w:r>
      <w:r>
        <w:rPr>
          <w:rFonts w:ascii="Times New Roman" w:hAnsi="Times New Roman"/>
          <w:sz w:val="24"/>
          <w:szCs w:val="24"/>
        </w:rPr>
        <w:t xml:space="preserve">сайте: </w:t>
      </w:r>
      <w:r>
        <w:rPr>
          <w:rFonts w:ascii="Times New Roman" w:hAnsi="Times New Roman"/>
          <w:sz w:val="24"/>
          <w:szCs w:val="24"/>
          <w:lang w:val="en-US"/>
        </w:rPr>
      </w:r>
      <w:hyperlink r:id="rId13" w:tooltip="https://knkamur.ru/dvizh/" w:history="1">
        <w:r>
          <w:rPr>
            <w:rStyle w:val="911"/>
            <w:rFonts w:ascii="Arial" w:hAnsi="Arial" w:eastAsia="Arial" w:cs="Arial"/>
            <w:color w:val="0b66c3"/>
            <w:sz w:val="20"/>
            <w:highlight w:val="white"/>
            <w:u w:val="none"/>
          </w:rPr>
          <w:t xml:space="preserve">https://knkamur.ru/dvizh/</w:t>
        </w:r>
      </w:hyperlink>
      <w:r>
        <w:rPr>
          <w:rFonts w:ascii="Times New Roman" w:hAnsi="Times New Roman"/>
          <w:sz w:val="24"/>
          <w:szCs w:val="24"/>
          <w:lang w:val="en-US"/>
        </w:rPr>
      </w:r>
      <w:r>
        <w:rPr>
          <w:rFonts w:ascii="Times New Roman" w:hAnsi="Times New Roman"/>
          <w:sz w:val="24"/>
          <w:szCs w:val="24"/>
        </w:rPr>
        <w:t xml:space="preserve"> или по телефону: +7914-573-56-49.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Список товаров-участников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tbl>
      <w:tblPr>
        <w:tblStyle w:val="723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6118"/>
        <w:gridCol w:w="2976"/>
      </w:tblGrid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Наименование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Штрих код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Салфетки Харуко Кимоно, 200 шт 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4906201940939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№114, Япония, 90 г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4901201103797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№117, Япония, 90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4901201103803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3в1 Сливочный Латте, 30 г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8998666003140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3в1 Сливочный Латте, 30 г, пакет 20 шт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8998666003157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 карамельный Латте, 25,5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8998666003928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3в1 карамельный Латте, 25,5 г, пакет 20 шт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8998666003935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3в1 Капучино, 25,5 г, пакет 20 шт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8996001414019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Кофе Торабика 3в1 Капучино, 25,5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8996001414002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Печенье Орео Какао-ваниль, 228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7622210309310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Печенье Бельвита Утреннее Фундук-мед, 225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7622210721921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Пирожное Медвежонок Барни Клубника, 150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7622202215155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Шоколад молочный Милка, 80 г 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7622202048326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Круассаны мини 7Дней  Ваниль, 265 г 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7622202204074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Чипсы Русская картошка Креветка, 140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4602041013085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Чипсы Русская картошка Жареная Курица, 140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4602041013092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Чипсы Русская картошка Сметана и лук, 140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4602041013115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Кукурузные шарики Сыр Болл Сыр, 140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4602041008104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8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1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Шарики кукурузные СырБолл Хачапури, 140 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976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4602041014761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01"/>
        <w:pBdr/>
        <w:spacing/>
        <w:ind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sectPr>
      <w:footnotePr/>
      <w:endnotePr/>
      <w:type w:val="nextPage"/>
      <w:pgSz w:h="16838" w:orient="portrait" w:w="11906"/>
      <w:pgMar w:top="899" w:right="850" w:bottom="1134" w:left="1260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">
    <w:panose1 w:val="020B0604020202020204"/>
  </w:font>
  <w:font w:name="Segoe UI">
    <w:panose1 w:val="020B0502040204020203"/>
  </w:font>
  <w:font w:name="Wingdings">
    <w:panose1 w:val="05000000000000000000"/>
  </w:font>
  <w:font w:name="Tahoma">
    <w:panose1 w:val="020B0604030504040204"/>
  </w:font>
  <w:font w:name="Courier New">
    <w:panose1 w:val="02070309020205020404"/>
  </w:font>
  <w:font w:name="Symbol">
    <w:panose1 w:val="05050102010706020507"/>
  </w:font>
  <w:font w:name="Jikharev">
    <w:panose1 w:val="05040102010807070707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spacing/>
        <w:ind w:hanging="540" w:left="540"/>
      </w:pPr>
      <w:rPr/>
      <w:start w:val="8"/>
      <w:suff w:val="tab"/>
    </w:lvl>
    <w:lvl w:ilvl="1">
      <w:isLgl w:val="false"/>
      <w:lvlJc w:val="left"/>
      <w:lvlText w:val="%1.%2."/>
      <w:numFmt w:val="decimal"/>
      <w:pPr>
        <w:pBdr/>
        <w:spacing/>
        <w:ind w:hanging="540" w:left="540"/>
      </w:pPr>
      <w:rPr/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/>
      <w:start w:val="2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/>
      <w:start w:val="1"/>
      <w:suff w:val="tab"/>
    </w:lvl>
  </w:abstractNum>
  <w:abstractNum w:abstractNumId="1">
    <w:lvl w:ilvl="0">
      <w:isLgl w:val="false"/>
      <w:lvlJc w:val="left"/>
      <w:lvlText w:val="%1."/>
      <w:numFmt w:val="decimal"/>
      <w:pPr>
        <w:pBdr/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tab"/>
    </w:lvl>
  </w:abstractNum>
  <w:abstractNum w:abstractNumId="2">
    <w:lvl w:ilvl="0">
      <w:isLgl w:val="false"/>
      <w:lvlJc w:val="left"/>
      <w:lvlText w:val="%1"/>
      <w:numFmt w:val="decimal"/>
      <w:pPr>
        <w:pBdr/>
        <w:spacing/>
        <w:ind w:hanging="360" w:left="720"/>
      </w:pPr>
      <w:rPr/>
      <w:start w:val="8"/>
      <w:suff w:val="tab"/>
    </w:lvl>
    <w:lvl w:ilvl="1">
      <w:isLgl w:val="false"/>
      <w:lvlJc w:val="left"/>
      <w:lvlText w:val="%1.%2."/>
      <w:numFmt w:val="decimal"/>
      <w:pPr>
        <w:pBdr/>
        <w:spacing/>
        <w:ind w:hanging="540" w:left="900"/>
      </w:pPr>
      <w:rPr>
        <w:rFonts w:ascii="Calibri" w:hAnsi="Calibri" w:cs="Calibri"/>
        <w:sz w:val="24"/>
      </w:rPr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080"/>
      </w:pPr>
      <w:rPr>
        <w:rFonts w:ascii="Calibri" w:hAnsi="Calibri" w:cs="Calibri"/>
        <w:sz w:val="24"/>
      </w:rPr>
      <w:start w:val="3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080"/>
      </w:pPr>
      <w:rPr>
        <w:rFonts w:ascii="Calibri" w:hAnsi="Calibri" w:cs="Calibri"/>
        <w:sz w:val="24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440"/>
      </w:pPr>
      <w:rPr>
        <w:rFonts w:ascii="Calibri" w:hAnsi="Calibri" w:cs="Calibri"/>
        <w:sz w:val="24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440"/>
      </w:pPr>
      <w:rPr>
        <w:rFonts w:ascii="Calibri" w:hAnsi="Calibri" w:cs="Calibri"/>
        <w:sz w:val="24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800"/>
      </w:pPr>
      <w:rPr>
        <w:rFonts w:ascii="Calibri" w:hAnsi="Calibri" w:cs="Calibri"/>
        <w:sz w:val="24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800"/>
      </w:pPr>
      <w:rPr>
        <w:rFonts w:ascii="Calibri" w:hAnsi="Calibri" w:cs="Calibri"/>
        <w:sz w:val="24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2160"/>
      </w:pPr>
      <w:rPr>
        <w:rFonts w:ascii="Calibri" w:hAnsi="Calibri" w:cs="Calibri"/>
        <w:sz w:val="24"/>
      </w:rPr>
      <w:start w:val="1"/>
      <w:suff w:val="tab"/>
    </w:lvl>
  </w:abstractNum>
  <w:abstractNum w:abstractNumId="3">
    <w:lvl w:ilvl="0">
      <w:isLgl w:val="false"/>
      <w:lvlJc w:val="left"/>
      <w:lvlText w:val="%1."/>
      <w:numFmt w:val="decimal"/>
      <w:pPr>
        <w:pBdr/>
        <w:spacing/>
        <w:ind/>
      </w:pPr>
      <w:rPr>
        <w:rFonts w:ascii="Times New Roman" w:hAnsi="Times New Roman" w:eastAsia="Times New Roman" w:cs="Times New Roman"/>
        <w:b/>
        <w:bCs w:val="0"/>
        <w:i w:val="0"/>
        <w:iCs w:val="0"/>
        <w:smallCaps w:val="0"/>
        <w:strike w:val="0"/>
        <w:color w:val="000000"/>
        <w:spacing w:val="0"/>
        <w:position w:val="0"/>
        <w:sz w:val="20"/>
        <w:szCs w:val="20"/>
        <w:u w:val="none"/>
        <w:lang w:val="ru-RU" w:eastAsia="ru-RU" w:bidi="ru-RU"/>
      </w:rPr>
      <w:start w:val="7"/>
      <w:suff w:val="tab"/>
    </w:lvl>
    <w:lvl w:ilvl="1">
      <w:isLgl w:val="false"/>
      <w:lvlJc w:val="left"/>
      <w:lvlText w:val="%1.%2."/>
      <w:numFmt w:val="decimal"/>
      <w:pPr>
        <w:pBdr/>
        <w:spacing/>
        <w:ind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0"/>
        <w:szCs w:val="20"/>
        <w:u w:val="none"/>
        <w:lang w:val="ru-RU" w:eastAsia="ru-RU" w:bidi="ru-RU"/>
      </w:rPr>
      <w:start w:val="1"/>
      <w:suff w:val="tab"/>
    </w:lvl>
    <w:lvl w:ilvl="2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3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4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5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6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7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8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</w:abstractNum>
  <w:abstractNum w:abstractNumId="4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8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/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/>
      <w:start w:val="1"/>
      <w:suff w:val="tab"/>
    </w:lvl>
  </w:abstractNum>
  <w:abstractNum w:abstractNumId="5">
    <w:lvl w:ilvl="0">
      <w:isLgl w:val="false"/>
      <w:lvlJc w:val="left"/>
      <w:lvlText w:val="%1."/>
      <w:numFmt w:val="decimal"/>
      <w:pPr>
        <w:pBdr/>
        <w:spacing/>
        <w:ind w:hanging="360" w:left="360"/>
      </w:pPr>
      <w:pStyle w:val="932"/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/>
      <w:start w:val="2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29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108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1440"/>
      </w:pPr>
      <w:rPr/>
      <w:start w:val="1"/>
      <w:suff w:val="tab"/>
    </w:lvl>
  </w:abstractNum>
  <w:abstractNum w:abstractNumId="6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/>
      <w:start w:val="4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/>
      <w:start w:val="1"/>
      <w:suff w:val="tab"/>
    </w:lvl>
  </w:abstractNum>
  <w:abstractNum w:abstractNumId="7">
    <w:lvl w:ilvl="0">
      <w:isLgl w:val="false"/>
      <w:lvlJc w:val="left"/>
      <w:lvlText w:val="%1)"/>
      <w:numFmt w:val="decimal"/>
      <w:pPr>
        <w:pBdr/>
        <w:spacing/>
        <w:ind w:hanging="360" w:left="360"/>
      </w:pPr>
      <w:rPr/>
      <w:start w:val="1"/>
      <w:suff w:val="tab"/>
    </w:lvl>
    <w:lvl w:ilvl="1">
      <w:isLgl w:val="false"/>
      <w:lvlJc w:val="left"/>
      <w:lvlText w:val="%2)"/>
      <w:numFmt w:val="lowerLetter"/>
      <w:pPr>
        <w:pBdr/>
        <w:spacing/>
        <w:ind w:hanging="360" w:left="720"/>
      </w:pPr>
      <w:rPr/>
      <w:start w:val="1"/>
      <w:suff w:val="tab"/>
    </w:lvl>
    <w:lvl w:ilvl="2">
      <w:isLgl w:val="false"/>
      <w:lvlJc w:val="left"/>
      <w:lvlText w:val="%3)"/>
      <w:numFmt w:val="lowerRoman"/>
      <w:pPr>
        <w:pBdr/>
        <w:spacing/>
        <w:ind w:hanging="360" w:left="1080"/>
      </w:pPr>
      <w:rPr/>
      <w:start w:val="1"/>
      <w:suff w:val="tab"/>
    </w:lvl>
    <w:lvl w:ilvl="3">
      <w:isLgl w:val="false"/>
      <w:lvlJc w:val="left"/>
      <w:lvlText w:val="(%4)"/>
      <w:numFmt w:val="decimal"/>
      <w:pPr>
        <w:pBdr/>
        <w:spacing/>
        <w:ind w:hanging="360" w:left="1440"/>
      </w:pPr>
      <w:rPr/>
      <w:start w:val="1"/>
      <w:suff w:val="tab"/>
    </w:lvl>
    <w:lvl w:ilvl="4">
      <w:isLgl w:val="false"/>
      <w:lvlJc w:val="left"/>
      <w:lvlText w:val="(%5)"/>
      <w:numFmt w:val="lowerLetter"/>
      <w:pPr>
        <w:pBdr/>
        <w:spacing/>
        <w:ind w:hanging="360" w:left="1800"/>
      </w:pPr>
      <w:rPr/>
      <w:start w:val="1"/>
      <w:suff w:val="tab"/>
    </w:lvl>
    <w:lvl w:ilvl="5">
      <w:isLgl w:val="false"/>
      <w:lvlJc w:val="left"/>
      <w:lvlText w:val="(%6)"/>
      <w:numFmt w:val="lowerRoman"/>
      <w:pPr>
        <w:pBdr/>
        <w:spacing/>
        <w:ind w:hanging="360" w:left="216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252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2880"/>
      </w:pPr>
      <w:rPr/>
      <w:start w:val="1"/>
      <w:suff w:val="tab"/>
    </w:lvl>
    <w:lvl w:ilvl="8">
      <w:isLgl w:val="false"/>
      <w:lvlJc w:val="left"/>
      <w:lvlText w:val="%9."/>
      <w:numFmt w:val="lowerRoman"/>
      <w:pPr>
        <w:pBdr/>
        <w:spacing/>
        <w:ind w:hanging="360" w:left="3240"/>
      </w:pPr>
      <w:rPr/>
      <w:start w:val="1"/>
      <w:suff w:val="tab"/>
    </w:lvl>
  </w:abstractNum>
  <w:abstractNum w:abstractNumId="8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502"/>
      </w:pPr>
      <w:rPr>
        <w:b w:val="0"/>
      </w:rPr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78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0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357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2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4640"/>
      </w:pPr>
      <w:rPr/>
      <w:start w:val="1"/>
      <w:suff w:val="tab"/>
    </w:lvl>
  </w:abstractNum>
  <w:abstractNum w:abstractNumId="9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/>
      <w:start w:val="2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4406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108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1440"/>
      </w:pPr>
      <w:rPr/>
      <w:start w:val="1"/>
      <w:suff w:val="tab"/>
    </w:lvl>
  </w:abstractNum>
  <w:abstractNum w:abstractNumId="10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eastAsia="Calibri"/>
      </w:rPr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>
        <w:rFonts w:eastAsia="Calibri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</w:abstractNum>
  <w:abstractNum w:abstractNumId="11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12">
    <w:lvl w:ilvl="0">
      <w:isLgl w:val="false"/>
      <w:lvlJc w:val="left"/>
      <w:lvlText w:val="6.%1."/>
      <w:numFmt w:val="decimal"/>
      <w:pPr>
        <w:pBdr/>
        <w:spacing/>
        <w:ind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0"/>
        <w:szCs w:val="20"/>
        <w:u w:val="none"/>
        <w:lang w:val="ru-RU" w:eastAsia="ru-RU" w:bidi="ru-RU"/>
      </w:rPr>
      <w:start w:val="5"/>
      <w:suff w:val="tab"/>
    </w:lvl>
    <w:lvl w:ilvl="1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2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3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4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5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6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7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8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</w:abstractNum>
  <w:abstractNum w:abstractNumId="13">
    <w:lvl w:ilvl="0">
      <w:isLgl w:val="false"/>
      <w:lvlJc w:val="left"/>
      <w:lvlText w:val="%1."/>
      <w:numFmt w:val="decimal"/>
      <w:pPr>
        <w:pBdr/>
        <w:spacing/>
        <w:ind w:hanging="450" w:left="450"/>
      </w:pPr>
      <w:rPr>
        <w:b/>
      </w:rPr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450" w:left="805"/>
      </w:pPr>
      <w:rPr>
        <w:b w:val="0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78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0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1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2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280"/>
      </w:pPr>
      <w:rPr/>
      <w:start w:val="1"/>
      <w:suff w:val="tab"/>
    </w:lvl>
  </w:abstractNum>
  <w:abstractNum w:abstractNumId="14">
    <w:lvl w:ilvl="0">
      <w:isLgl w:val="false"/>
      <w:lvlJc w:val="left"/>
      <w:lvlText w:val="%1."/>
      <w:numFmt w:val="decimal"/>
      <w:pPr>
        <w:pBdr/>
        <w:tabs>
          <w:tab w:val="num" w:leader="none" w:pos="786"/>
        </w:tabs>
        <w:spacing/>
        <w:ind w:hanging="360" w:left="786"/>
      </w:pPr>
      <w:rPr>
        <w:b/>
      </w:rPr>
      <w:start w:val="1"/>
      <w:suff w:val="tab"/>
    </w:lvl>
    <w:lvl w:ilvl="1">
      <w:isLgl w:val="false"/>
      <w:lvlJc w:val="left"/>
      <w:lvlText w:val="%2."/>
      <w:numFmt w:val="decimal"/>
      <w:pPr>
        <w:pBdr/>
        <w:tabs>
          <w:tab w:val="num" w:leader="none" w:pos="3240"/>
        </w:tabs>
        <w:spacing/>
        <w:ind/>
      </w:pPr>
      <w:rPr>
        <w:rFonts w:ascii="Times New Roman" w:hAnsi="Times New Roman" w:eastAsia="Calibri" w:cs="Times New Roman"/>
      </w:rPr>
      <w:start w:val="1"/>
      <w:suff w:val="tab"/>
    </w:lvl>
    <w:lvl w:ilvl="2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3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4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5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6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7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  <w:lvl w:ilvl="8">
      <w:isLgl w:val="false"/>
      <w:lvlJc w:val="left"/>
      <w:lvlText/>
      <w:numFmt w:val="decimal"/>
      <w:pPr>
        <w:pBdr/>
        <w:tabs>
          <w:tab w:val="num" w:leader="none" w:pos="3240"/>
        </w:tabs>
        <w:spacing/>
        <w:ind/>
      </w:pPr>
      <w:rPr/>
      <w:start w:val="0"/>
      <w:suff w:val="tab"/>
    </w:lvl>
  </w:abstractNum>
  <w:abstractNum w:abstractNumId="15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/>
      <w:start w:val="2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4406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108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1440"/>
      </w:pPr>
      <w:rPr/>
      <w:start w:val="1"/>
      <w:suff w:val="tab"/>
    </w:lvl>
  </w:abstractNum>
  <w:abstractNum w:abstractNumId="16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7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715"/>
      </w:pPr>
      <w:rPr/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78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0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357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2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4640"/>
      </w:pPr>
      <w:rPr/>
      <w:start w:val="1"/>
      <w:suff w:val="tab"/>
    </w:lvl>
  </w:abstractNum>
  <w:abstractNum w:abstractNumId="17">
    <w:lvl w:ilvl="0">
      <w:isLgl w:val="false"/>
      <w:lvlJc w:val="left"/>
      <w:lvlText w:val="%1."/>
      <w:numFmt w:val="decimal"/>
      <w:pPr>
        <w:pBdr/>
        <w:spacing/>
        <w:ind w:hanging="450" w:left="450"/>
      </w:pPr>
      <w:rPr/>
      <w:start w:val="5"/>
      <w:suff w:val="tab"/>
    </w:lvl>
    <w:lvl w:ilvl="1">
      <w:isLgl w:val="false"/>
      <w:lvlJc w:val="left"/>
      <w:lvlText w:val="%1.%2."/>
      <w:numFmt w:val="decimal"/>
      <w:pPr>
        <w:pBdr/>
        <w:spacing/>
        <w:ind w:hanging="450" w:left="810"/>
      </w:pPr>
      <w:rPr>
        <w:b w:val="0"/>
      </w:rPr>
      <w:start w:val="2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80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2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6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/>
      <w:start w:val="1"/>
      <w:suff w:val="tab"/>
    </w:lvl>
  </w:abstractNum>
  <w:abstractNum w:abstractNumId="18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eastAsia="Calibri"/>
      </w:rPr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360"/>
      </w:pPr>
      <w:rPr>
        <w:rFonts w:eastAsia="Calibri"/>
      </w:rPr>
      <w:start w:val="8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>
        <w:rFonts w:eastAsia="Calibri"/>
      </w:rPr>
      <w:start w:val="1"/>
      <w:suff w:val="tab"/>
    </w:lvl>
  </w:abstractNum>
  <w:abstractNum w:abstractNumId="19">
    <w:lvl w:ilvl="0">
      <w:isLgl w:val="false"/>
      <w:lvlJc w:val="left"/>
      <w:lvlText w:val="%1."/>
      <w:numFmt w:val="decimal"/>
      <w:pPr>
        <w:pBdr/>
        <w:spacing/>
        <w:ind w:hanging="360" w:left="36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502"/>
      </w:pPr>
      <w:rPr>
        <w:b w:val="0"/>
      </w:rPr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78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0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357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2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4640"/>
      </w:pPr>
      <w:rPr/>
      <w:start w:val="1"/>
      <w:suff w:val="tab"/>
    </w:lvl>
  </w:abstractNum>
  <w:abstractNum w:abstractNumId="20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eastAsia="Calibri"/>
      </w:rPr>
      <w:start w:val="7"/>
      <w:suff w:val="tab"/>
    </w:lvl>
    <w:lvl w:ilvl="1">
      <w:isLgl w:val="false"/>
      <w:lvlJc w:val="left"/>
      <w:lvlText w:val="%1.%2."/>
      <w:numFmt w:val="decimal"/>
      <w:pPr>
        <w:pBdr/>
        <w:spacing/>
        <w:ind w:hanging="360" w:left="643"/>
      </w:pPr>
      <w:rPr>
        <w:rFonts w:eastAsia="Calibri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>
        <w:rFonts w:eastAsia="Calibri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>
        <w:rFonts w:eastAsia="Calibri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>
        <w:rFonts w:eastAsia="Calibri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>
        <w:rFonts w:eastAsia="Calibri"/>
      </w:rPr>
      <w:start w:val="1"/>
      <w:suff w:val="tab"/>
    </w:lvl>
  </w:abstractNum>
  <w:abstractNum w:abstractNumId="21">
    <w:lvl w:ilvl="0">
      <w:isLgl w:val="false"/>
      <w:lvlJc w:val="left"/>
      <w:lvlText w:val="%1."/>
      <w:numFmt w:val="decimal"/>
      <w:pPr>
        <w:pBdr/>
        <w:spacing/>
        <w:ind w:hanging="540" w:left="54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540" w:left="540"/>
      </w:pPr>
      <w:rPr/>
      <w:start w:val="2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720"/>
      </w:pPr>
      <w:rPr/>
      <w:start w:val="2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720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08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1080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440" w:left="144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1440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800" w:left="1800"/>
      </w:pPr>
      <w:rPr/>
      <w:start w:val="1"/>
      <w:suff w:val="tab"/>
    </w:lvl>
  </w:abstractNum>
  <w:abstractNum w:abstractNumId="22">
    <w:lvl w:ilvl="0">
      <w:isLgl w:val="false"/>
      <w:lvlJc w:val="left"/>
      <w:lvlText w:val="%1."/>
      <w:numFmt w:val="decimal"/>
      <w:pPr>
        <w:pBdr/>
        <w:spacing/>
        <w:ind w:hanging="450" w:left="450"/>
      </w:pPr>
      <w:rPr/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450" w:left="1165"/>
      </w:pPr>
      <w:rPr>
        <w:b w:val="0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286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394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46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537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644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7160"/>
      </w:pPr>
      <w:rPr/>
      <w:start w:val="1"/>
      <w:suff w:val="tab"/>
    </w:lvl>
  </w:abstractNum>
  <w:abstractNum w:abstractNumId="23">
    <w:lvl w:ilvl="0">
      <w:isLgl w:val="false"/>
      <w:lvlJc w:val="left"/>
      <w:lvlText w:val="%1."/>
      <w:numFmt w:val="decimal"/>
      <w:pPr>
        <w:pBdr/>
        <w:spacing/>
        <w:ind w:hanging="450" w:left="450"/>
      </w:pPr>
      <w:rPr>
        <w:b/>
      </w:rPr>
      <w:start w:val="6"/>
      <w:suff w:val="tab"/>
    </w:lvl>
    <w:lvl w:ilvl="1">
      <w:isLgl w:val="false"/>
      <w:lvlJc w:val="left"/>
      <w:lvlText w:val="%1.%2."/>
      <w:numFmt w:val="decimal"/>
      <w:pPr>
        <w:pBdr/>
        <w:spacing/>
        <w:ind w:hanging="450" w:left="805"/>
      </w:pPr>
      <w:rPr>
        <w:b w:val="0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30"/>
      </w:pPr>
      <w:rPr/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720" w:left="1785"/>
      </w:pPr>
      <w:rPr/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2500"/>
      </w:pPr>
      <w:rPr/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080" w:left="2855"/>
      </w:pPr>
      <w:rPr/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10"/>
      </w:pPr>
      <w:rPr/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440" w:left="3925"/>
      </w:pPr>
      <w:rPr/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280"/>
      </w:pPr>
      <w:rPr/>
      <w:start w:val="1"/>
      <w:suff w:val="tab"/>
    </w:lvl>
  </w:abstractNum>
  <w:abstractNum w:abstractNumId="24">
    <w:lvl w:ilvl="0">
      <w:isLgl w:val="false"/>
      <w:lvlJc w:val="left"/>
      <w:lvlText w:val="7.%1."/>
      <w:numFmt w:val="decimal"/>
      <w:pPr>
        <w:pBdr/>
        <w:spacing/>
        <w:ind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0"/>
        <w:szCs w:val="20"/>
        <w:u w:val="none"/>
        <w:lang w:val="ru-RU" w:eastAsia="ru-RU" w:bidi="ru-RU"/>
      </w:rPr>
      <w:start w:val="7"/>
      <w:suff w:val="tab"/>
    </w:lvl>
    <w:lvl w:ilvl="1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2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3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4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5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6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7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  <w:lvl w:ilvl="8">
      <w:isLgl w:val="false"/>
      <w:lvlJc w:val="left"/>
      <w:lvlText/>
      <w:numFmt w:val="decimal"/>
      <w:pPr>
        <w:pBdr/>
        <w:spacing/>
        <w:ind/>
      </w:pPr>
      <w:rPr/>
      <w:start w:val="0"/>
      <w:suff w:val="tab"/>
    </w:lvl>
  </w:abstractNum>
  <w:abstractNum w:abstractNumId="25">
    <w:lvl w:ilvl="0">
      <w:isLgl w:val="false"/>
      <w:lvlJc w:val="left"/>
      <w:lvlText w:val="•"/>
      <w:numFmt w:val="bullet"/>
      <w:pPr>
        <w:pBdr/>
        <w:spacing/>
        <w:ind w:hanging="360" w:left="720"/>
      </w:pPr>
      <w:rPr>
        <w:rFonts w:ascii="Calibri" w:hAnsi="Calibri" w:eastAsia="Calibri" w:cs="Times New Roman"/>
      </w:rPr>
      <w:start w:val="0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ascii="Courier New" w:hAnsi="Courier New" w:cs="Courier New"/>
      </w:rPr>
      <w:start w:val="1"/>
      <w:suff w:val="tab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ascii="Wingdings" w:hAnsi="Wingdings"/>
      </w:rPr>
      <w:start w:val="1"/>
      <w:suff w:val="tab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ascii="Symbol" w:hAnsi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ascii="Courier New" w:hAnsi="Courier New" w:cs="Courier New"/>
      </w:rPr>
      <w:start w:val="1"/>
      <w:suff w:val="tab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ascii="Wingdings" w:hAnsi="Wingdings"/>
      </w:rPr>
      <w:start w:val="1"/>
      <w:suff w:val="tab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ascii="Symbol" w:hAnsi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ascii="Courier New" w:hAnsi="Courier New" w:cs="Courier New"/>
      </w:rPr>
      <w:start w:val="1"/>
      <w:suff w:val="tab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ascii="Wingdings" w:hAnsi="Wingdings"/>
      </w:rPr>
      <w:start w:val="1"/>
      <w:suff w:val="tab"/>
    </w:lvl>
  </w:abstractNum>
  <w:abstractNum w:abstractNumId="26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ascii="Symbol" w:hAnsi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ascii="Courier New" w:hAnsi="Courier New" w:cs="Courier New"/>
      </w:rPr>
      <w:start w:val="1"/>
      <w:suff w:val="tab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ascii="Wingdings" w:hAnsi="Wingdings"/>
      </w:rPr>
      <w:start w:val="1"/>
      <w:suff w:val="tab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ascii="Symbol" w:hAnsi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ascii="Courier New" w:hAnsi="Courier New" w:cs="Courier New"/>
      </w:rPr>
      <w:start w:val="1"/>
      <w:suff w:val="tab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ascii="Wingdings" w:hAnsi="Wingdings"/>
      </w:rPr>
      <w:start w:val="1"/>
      <w:suff w:val="tab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ascii="Symbol" w:hAnsi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ascii="Courier New" w:hAnsi="Courier New" w:cs="Courier New"/>
      </w:rPr>
      <w:start w:val="1"/>
      <w:suff w:val="tab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ascii="Wingdings" w:hAnsi="Wingdings"/>
      </w:rPr>
      <w:start w:val="1"/>
      <w:suff w:val="tab"/>
    </w:lvl>
  </w:abstractNum>
  <w:abstractNum w:abstractNumId="27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ascii="Symbol" w:hAnsi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ascii="Courier New" w:hAnsi="Courier New" w:cs="Courier New"/>
      </w:rPr>
      <w:start w:val="1"/>
      <w:suff w:val="tab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ascii="Wingdings" w:hAnsi="Wingdings"/>
      </w:rPr>
      <w:start w:val="1"/>
      <w:suff w:val="tab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ascii="Symbol" w:hAnsi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ascii="Courier New" w:hAnsi="Courier New" w:cs="Courier New"/>
      </w:rPr>
      <w:start w:val="1"/>
      <w:suff w:val="tab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ascii="Wingdings" w:hAnsi="Wingdings"/>
      </w:rPr>
      <w:start w:val="1"/>
      <w:suff w:val="tab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ascii="Symbol" w:hAnsi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ascii="Courier New" w:hAnsi="Courier New" w:cs="Courier New"/>
      </w:rPr>
      <w:start w:val="1"/>
      <w:suff w:val="tab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ascii="Wingdings" w:hAnsi="Wingdings"/>
      </w:rPr>
      <w:start w:val="1"/>
      <w:suff w:val="tab"/>
    </w:lvl>
  </w:abstractNum>
  <w:num w:numId="1">
    <w:abstractNumId w:val="14"/>
  </w:num>
  <w:num w:numId="2">
    <w:abstractNumId w:val="10"/>
  </w:num>
  <w:num w:numId="3">
    <w:abstractNumId w:val="11"/>
  </w:num>
  <w:num w:numId="4">
    <w:abstractNumId w:val="17"/>
  </w:num>
  <w:num w:numId="5">
    <w:abstractNumId w:val="22"/>
  </w:num>
  <w:num w:numId="6">
    <w:abstractNumId w:val="23"/>
  </w:num>
  <w:num w:numId="7">
    <w:abstractNumId w:val="26"/>
  </w:num>
  <w:num w:numId="8">
    <w:abstractNumId w:val="25"/>
  </w:num>
  <w:num w:numId="9">
    <w:abstractNumId w:val="12"/>
  </w:num>
  <w:num w:numId="10">
    <w:abstractNumId w:val="9"/>
  </w:num>
  <w:num w:numId="11">
    <w:abstractNumId w:val="13"/>
  </w:num>
  <w:num w:numId="12">
    <w:abstractNumId w:val="16"/>
  </w:num>
  <w:num w:numId="13">
    <w:abstractNumId w:val="24"/>
  </w:num>
  <w:num w:numId="14">
    <w:abstractNumId w:val="3"/>
  </w:num>
  <w:num w:numId="15">
    <w:abstractNumId w:val="7"/>
  </w:num>
  <w:num w:numId="16">
    <w:abstractNumId w:val="5"/>
  </w:num>
  <w:num w:numId="17">
    <w:abstractNumId w:val="15"/>
  </w:num>
  <w:num w:numId="18">
    <w:abstractNumId w:val="19"/>
  </w:num>
  <w:num w:numId="19">
    <w:abstractNumId w:val="2"/>
  </w:num>
  <w:num w:numId="20">
    <w:abstractNumId w:val="8"/>
  </w:num>
  <w:num w:numId="21">
    <w:abstractNumId w:val="21"/>
  </w:num>
  <w:num w:numId="22">
    <w:abstractNumId w:val="18"/>
  </w:num>
  <w:num w:numId="23">
    <w:abstractNumId w:val="20"/>
  </w:num>
  <w:num w:numId="24">
    <w:abstractNumId w:val="4"/>
  </w:num>
  <w:num w:numId="25">
    <w:abstractNumId w:val="0"/>
  </w:num>
  <w:num w:numId="26">
    <w:abstractNumId w:val="6"/>
  </w:num>
  <w:num w:numId="27">
    <w:abstractNumId w:val="1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22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Table Grid"/>
    <w:basedOn w:val="722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Table Grid Light"/>
    <w:basedOn w:val="72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Plain Table 1"/>
    <w:basedOn w:val="72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Plain Table 2"/>
    <w:basedOn w:val="72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Plain Table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Plain Table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Plain Table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1 Light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1 Light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1 Light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1 Light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1 Light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1 Light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1 Light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2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2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2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2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2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2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3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3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3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3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3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3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4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4 - Accent 1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4 - Accent 2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4 - Accent 3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4 - Accent 4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4 - Accent 5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4 - Accent 6"/>
    <w:basedOn w:val="72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5 Dark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5 Dark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Grid Table 5 Dark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Grid Table 5 Dark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Grid Table 5 Dark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Grid Table 5 Dark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Grid Table 5 Dark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Grid Table 6 Colorful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Grid Table 6 Colorful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Grid Table 6 Colorful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Grid Table 6 Colorful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Grid Table 6 Colorful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Grid Table 6 Colorful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Grid Table 6 Colorful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Grid Table 7 Colorful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Grid Table 7 Colorful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Grid Table 7 Colorful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Grid Table 7 Colorful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Grid Table 7 Colorful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Grid Table 7 Colorful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Grid Table 7 Colorful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1 Light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1 Light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1 Light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1 Light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1 Light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1 Light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1 Light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2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2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2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2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2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2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3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3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3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3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3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3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4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4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4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4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4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4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5 Dark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5 Dark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st Table 5 Dark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st Table 5 Dark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st Table 5 Dark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st Table 5 Dark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st Table 5 Dark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st Table 6 Colorful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st Table 6 Colorful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List Table 6 Colorful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List Table 6 Colorful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List Table 6 Colorful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List Table 6 Colorful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List Table 6 Colorful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List Table 7 Colorful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List Table 7 Colorful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List Table 7 Colorful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List Table 7 Colorful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List Table 7 Colorful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List Table 7 Colorful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List Table 7 Colorful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Lined - Accent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Lined - Accent 1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Lined - Accent 2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Lined - Accent 3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2">
    <w:name w:val="Lined - Accent 4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3">
    <w:name w:val="Lined - Accent 5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4">
    <w:name w:val="Lined - Accent 6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5">
    <w:name w:val="Bordered &amp; Lined - Accent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6">
    <w:name w:val="Bordered &amp; Lined - Accent 1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7">
    <w:name w:val="Bordered &amp; Lined - Accent 2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>
    <w:name w:val="Bordered &amp; Lined - Accent 3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>
    <w:name w:val="Bordered &amp; Lined - Accent 4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>
    <w:name w:val="Bordered &amp; Lined - Accent 5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>
    <w:name w:val="Bordered &amp; Lined - Accent 6"/>
    <w:basedOn w:val="72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>
    <w:name w:val="Bordered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>
    <w:name w:val="Bordered - Accent 1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>
    <w:name w:val="Bordered - Accent 2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>
    <w:name w:val="Bordered - Accent 3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>
    <w:name w:val="Bordered - Accent 4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>
    <w:name w:val="Bordered - Accent 5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8">
    <w:name w:val="Bordered - Accent 6"/>
    <w:basedOn w:val="72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49">
    <w:name w:val="Heading 1"/>
    <w:basedOn w:val="901"/>
    <w:next w:val="901"/>
    <w:link w:val="860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850">
    <w:name w:val="Heading 2"/>
    <w:basedOn w:val="901"/>
    <w:next w:val="901"/>
    <w:link w:val="861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851">
    <w:name w:val="Heading 3"/>
    <w:basedOn w:val="901"/>
    <w:next w:val="901"/>
    <w:link w:val="862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52">
    <w:name w:val="Heading 4"/>
    <w:basedOn w:val="901"/>
    <w:next w:val="901"/>
    <w:link w:val="863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53">
    <w:name w:val="Heading 5"/>
    <w:basedOn w:val="901"/>
    <w:next w:val="901"/>
    <w:link w:val="864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54">
    <w:name w:val="Heading 6"/>
    <w:basedOn w:val="901"/>
    <w:next w:val="901"/>
    <w:link w:val="865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55">
    <w:name w:val="Heading 7"/>
    <w:basedOn w:val="901"/>
    <w:next w:val="901"/>
    <w:link w:val="866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56">
    <w:name w:val="Heading 8"/>
    <w:basedOn w:val="901"/>
    <w:next w:val="901"/>
    <w:link w:val="867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57">
    <w:name w:val="Heading 9"/>
    <w:basedOn w:val="901"/>
    <w:next w:val="901"/>
    <w:link w:val="868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58" w:default="1">
    <w:name w:val="Default Paragraph Font"/>
    <w:uiPriority w:val="1"/>
    <w:semiHidden/>
    <w:unhideWhenUsed/>
    <w:pPr>
      <w:pBdr/>
      <w:spacing/>
      <w:ind/>
    </w:pPr>
  </w:style>
  <w:style w:type="numbering" w:styleId="859" w:default="1">
    <w:name w:val="No List"/>
    <w:uiPriority w:val="99"/>
    <w:semiHidden/>
    <w:unhideWhenUsed/>
    <w:pPr>
      <w:pBdr/>
      <w:spacing/>
      <w:ind/>
    </w:pPr>
  </w:style>
  <w:style w:type="character" w:styleId="860">
    <w:name w:val="Heading 1 Char"/>
    <w:basedOn w:val="858"/>
    <w:link w:val="84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61">
    <w:name w:val="Heading 2 Char"/>
    <w:basedOn w:val="858"/>
    <w:link w:val="85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62">
    <w:name w:val="Heading 3 Char"/>
    <w:basedOn w:val="858"/>
    <w:link w:val="851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63">
    <w:name w:val="Heading 4 Char"/>
    <w:basedOn w:val="858"/>
    <w:link w:val="852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64">
    <w:name w:val="Heading 5 Char"/>
    <w:basedOn w:val="858"/>
    <w:link w:val="853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65">
    <w:name w:val="Heading 6 Char"/>
    <w:basedOn w:val="858"/>
    <w:link w:val="854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66">
    <w:name w:val="Heading 7 Char"/>
    <w:basedOn w:val="858"/>
    <w:link w:val="855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67">
    <w:name w:val="Heading 8 Char"/>
    <w:basedOn w:val="858"/>
    <w:link w:val="85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68">
    <w:name w:val="Heading 9 Char"/>
    <w:basedOn w:val="858"/>
    <w:link w:val="857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69">
    <w:name w:val="Title"/>
    <w:basedOn w:val="901"/>
    <w:next w:val="901"/>
    <w:link w:val="870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70">
    <w:name w:val="Title Char"/>
    <w:basedOn w:val="858"/>
    <w:link w:val="869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71">
    <w:name w:val="Subtitle"/>
    <w:basedOn w:val="901"/>
    <w:next w:val="901"/>
    <w:link w:val="872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72">
    <w:name w:val="Subtitle Char"/>
    <w:basedOn w:val="858"/>
    <w:link w:val="871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73">
    <w:name w:val="Quote"/>
    <w:basedOn w:val="901"/>
    <w:next w:val="901"/>
    <w:link w:val="874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74">
    <w:name w:val="Quote Char"/>
    <w:basedOn w:val="858"/>
    <w:link w:val="873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875">
    <w:name w:val="List Paragraph"/>
    <w:basedOn w:val="901"/>
    <w:uiPriority w:val="34"/>
    <w:qFormat/>
    <w:pPr>
      <w:pBdr/>
      <w:spacing/>
      <w:ind w:left="720"/>
      <w:contextualSpacing w:val="true"/>
    </w:pPr>
  </w:style>
  <w:style w:type="character" w:styleId="876">
    <w:name w:val="Intense Emphasis"/>
    <w:basedOn w:val="858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77">
    <w:name w:val="Intense Quote"/>
    <w:basedOn w:val="901"/>
    <w:next w:val="901"/>
    <w:link w:val="878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78">
    <w:name w:val="Intense Quote Char"/>
    <w:basedOn w:val="858"/>
    <w:link w:val="877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79">
    <w:name w:val="Intense Reference"/>
    <w:basedOn w:val="858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880">
    <w:name w:val="No Spacing"/>
    <w:basedOn w:val="901"/>
    <w:uiPriority w:val="1"/>
    <w:qFormat/>
    <w:pPr>
      <w:pBdr/>
      <w:spacing w:after="0" w:line="240" w:lineRule="auto"/>
      <w:ind/>
    </w:pPr>
  </w:style>
  <w:style w:type="character" w:styleId="881">
    <w:name w:val="Subtle Emphasis"/>
    <w:basedOn w:val="858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82">
    <w:name w:val="Emphasis"/>
    <w:basedOn w:val="858"/>
    <w:uiPriority w:val="20"/>
    <w:qFormat/>
    <w:pPr>
      <w:pBdr/>
      <w:spacing/>
      <w:ind/>
    </w:pPr>
    <w:rPr>
      <w:i/>
      <w:iCs/>
    </w:rPr>
  </w:style>
  <w:style w:type="character" w:styleId="883">
    <w:name w:val="Strong"/>
    <w:basedOn w:val="858"/>
    <w:uiPriority w:val="22"/>
    <w:qFormat/>
    <w:pPr>
      <w:pBdr/>
      <w:spacing/>
      <w:ind/>
    </w:pPr>
    <w:rPr>
      <w:b/>
      <w:bCs/>
    </w:rPr>
  </w:style>
  <w:style w:type="character" w:styleId="884">
    <w:name w:val="Subtle Reference"/>
    <w:basedOn w:val="858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85">
    <w:name w:val="Book Title"/>
    <w:basedOn w:val="858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86">
    <w:name w:val="Header"/>
    <w:basedOn w:val="901"/>
    <w:link w:val="887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87">
    <w:name w:val="Header Char"/>
    <w:basedOn w:val="858"/>
    <w:link w:val="886"/>
    <w:uiPriority w:val="99"/>
    <w:pPr>
      <w:pBdr/>
      <w:spacing/>
      <w:ind/>
    </w:pPr>
  </w:style>
  <w:style w:type="paragraph" w:styleId="888">
    <w:name w:val="Footer"/>
    <w:basedOn w:val="901"/>
    <w:link w:val="889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89">
    <w:name w:val="Footer Char"/>
    <w:basedOn w:val="858"/>
    <w:link w:val="888"/>
    <w:uiPriority w:val="99"/>
    <w:pPr>
      <w:pBdr/>
      <w:spacing/>
      <w:ind/>
    </w:pPr>
  </w:style>
  <w:style w:type="paragraph" w:styleId="890">
    <w:name w:val="Caption"/>
    <w:basedOn w:val="901"/>
    <w:next w:val="901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91">
    <w:name w:val="footnote text"/>
    <w:basedOn w:val="901"/>
    <w:link w:val="892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92">
    <w:name w:val="Footnote Text Char"/>
    <w:basedOn w:val="858"/>
    <w:link w:val="891"/>
    <w:uiPriority w:val="99"/>
    <w:semiHidden/>
    <w:pPr>
      <w:pBdr/>
      <w:spacing/>
      <w:ind/>
    </w:pPr>
    <w:rPr>
      <w:sz w:val="20"/>
      <w:szCs w:val="20"/>
    </w:rPr>
  </w:style>
  <w:style w:type="character" w:styleId="893">
    <w:name w:val="footnote reference"/>
    <w:basedOn w:val="858"/>
    <w:uiPriority w:val="99"/>
    <w:semiHidden/>
    <w:unhideWhenUsed/>
    <w:pPr>
      <w:pBdr/>
      <w:spacing/>
      <w:ind/>
    </w:pPr>
    <w:rPr>
      <w:vertAlign w:val="superscript"/>
    </w:rPr>
  </w:style>
  <w:style w:type="paragraph" w:styleId="894">
    <w:name w:val="endnote text"/>
    <w:basedOn w:val="901"/>
    <w:link w:val="895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95">
    <w:name w:val="Endnote Text Char"/>
    <w:basedOn w:val="858"/>
    <w:link w:val="894"/>
    <w:uiPriority w:val="99"/>
    <w:semiHidden/>
    <w:pPr>
      <w:pBdr/>
      <w:spacing/>
      <w:ind/>
    </w:pPr>
    <w:rPr>
      <w:sz w:val="20"/>
      <w:szCs w:val="20"/>
    </w:rPr>
  </w:style>
  <w:style w:type="character" w:styleId="896">
    <w:name w:val="endnote reference"/>
    <w:basedOn w:val="858"/>
    <w:uiPriority w:val="99"/>
    <w:semiHidden/>
    <w:unhideWhenUsed/>
    <w:pPr>
      <w:pBdr/>
      <w:spacing/>
      <w:ind/>
    </w:pPr>
    <w:rPr>
      <w:vertAlign w:val="superscript"/>
    </w:rPr>
  </w:style>
  <w:style w:type="character" w:styleId="897">
    <w:name w:val="Hyperlink"/>
    <w:basedOn w:val="858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98">
    <w:name w:val="FollowedHyperlink"/>
    <w:basedOn w:val="858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99">
    <w:name w:val="TOC Heading"/>
    <w:uiPriority w:val="39"/>
    <w:unhideWhenUsed/>
    <w:pPr>
      <w:pBdr/>
      <w:spacing/>
      <w:ind/>
    </w:pPr>
  </w:style>
  <w:style w:type="paragraph" w:styleId="900">
    <w:name w:val="table of figures"/>
    <w:basedOn w:val="901"/>
    <w:next w:val="901"/>
    <w:uiPriority w:val="99"/>
    <w:unhideWhenUsed/>
    <w:pPr>
      <w:pBdr/>
      <w:spacing w:after="0" w:afterAutospacing="0"/>
      <w:ind/>
    </w:pPr>
  </w:style>
  <w:style w:type="paragraph" w:styleId="901" w:default="1">
    <w:name w:val="Normal"/>
    <w:next w:val="901"/>
    <w:link w:val="901"/>
    <w:qFormat/>
    <w:pPr>
      <w:pBdr/>
      <w:spacing w:after="200" w:line="276" w:lineRule="auto"/>
      <w:ind/>
    </w:pPr>
    <w:rPr>
      <w:rFonts w:ascii="Calibri" w:hAnsi="Calibri" w:eastAsia="Calibri"/>
      <w:sz w:val="22"/>
      <w:szCs w:val="22"/>
      <w:lang w:val="ru-RU" w:eastAsia="en-US" w:bidi="ar-SA"/>
    </w:rPr>
  </w:style>
  <w:style w:type="paragraph" w:styleId="902">
    <w:name w:val="Заголовок 1"/>
    <w:basedOn w:val="901"/>
    <w:next w:val="902"/>
    <w:link w:val="915"/>
    <w:uiPriority w:val="9"/>
    <w:qFormat/>
    <w:pPr>
      <w:pBdr/>
      <w:spacing w:after="100" w:afterAutospacing="1" w:before="100" w:beforeAutospacing="1" w:line="240" w:lineRule="auto"/>
      <w:ind/>
      <w:outlineLvl w:val="0"/>
    </w:pPr>
    <w:rPr>
      <w:rFonts w:ascii="Times New Roman" w:hAnsi="Times New Roman" w:eastAsia="Times New Roman"/>
      <w:b/>
      <w:bCs/>
      <w:sz w:val="48"/>
      <w:szCs w:val="48"/>
      <w:lang w:val="en-US" w:eastAsia="en-US"/>
    </w:rPr>
  </w:style>
  <w:style w:type="paragraph" w:styleId="903">
    <w:name w:val="Заголовок 3"/>
    <w:basedOn w:val="901"/>
    <w:next w:val="901"/>
    <w:link w:val="934"/>
    <w:qFormat/>
    <w:pPr>
      <w:keepNext w:val="true"/>
      <w:pBdr>
        <w:bottom w:val="single" w:color="000000" w:sz="12" w:space="31"/>
      </w:pBdr>
      <w:spacing w:after="0" w:line="240" w:lineRule="auto"/>
      <w:ind/>
      <w:jc w:val="center"/>
      <w:outlineLvl w:val="2"/>
    </w:pPr>
    <w:rPr>
      <w:rFonts w:ascii="Times New Roman" w:hAnsi="Times New Roman" w:eastAsia="Times New Roman"/>
      <w:sz w:val="24"/>
      <w:szCs w:val="20"/>
      <w:lang w:eastAsia="ru-RU"/>
    </w:rPr>
  </w:style>
  <w:style w:type="character" w:styleId="904">
    <w:name w:val="Основной шрифт абзаца"/>
    <w:next w:val="904"/>
    <w:link w:val="901"/>
    <w:semiHidden/>
    <w:pPr>
      <w:pBdr/>
      <w:spacing/>
      <w:ind/>
    </w:pPr>
  </w:style>
  <w:style w:type="table" w:styleId="905">
    <w:name w:val="Обычная таблица"/>
    <w:next w:val="905"/>
    <w:link w:val="901"/>
    <w:semiHidden/>
    <w:pPr>
      <w:pBdr/>
      <w:spacing/>
      <w:ind/>
    </w:pPr>
    <w:tblPr>
      <w:tblW w:w="0" w:type="auto"/>
      <w:tblInd w:w="0" w:type="dxa"/>
      <w:tblBorders/>
      <w:tblLayout w:type="fixed"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906">
    <w:name w:val="Нет списка"/>
    <w:next w:val="906"/>
    <w:link w:val="901"/>
    <w:semiHidden/>
    <w:pPr>
      <w:pBdr/>
      <w:spacing/>
      <w:ind/>
    </w:pPr>
  </w:style>
  <w:style w:type="paragraph" w:styleId="907">
    <w:name w:val="Название"/>
    <w:basedOn w:val="901"/>
    <w:next w:val="907"/>
    <w:link w:val="908"/>
    <w:qFormat/>
    <w:pPr>
      <w:pBdr/>
      <w:spacing w:after="0" w:line="240" w:lineRule="auto"/>
      <w:ind/>
      <w:jc w:val="center"/>
    </w:pPr>
    <w:rPr>
      <w:rFonts w:ascii="Jikharev" w:hAnsi="Jikharev" w:eastAsia="Times New Roman"/>
      <w:sz w:val="36"/>
      <w:szCs w:val="20"/>
      <w:lang w:eastAsia="ru-RU"/>
    </w:rPr>
  </w:style>
  <w:style w:type="character" w:styleId="908">
    <w:name w:val="Название Знак"/>
    <w:next w:val="908"/>
    <w:link w:val="907"/>
    <w:pPr>
      <w:pBdr/>
      <w:spacing/>
      <w:ind/>
    </w:pPr>
    <w:rPr>
      <w:rFonts w:ascii="Jikharev" w:hAnsi="Jikharev"/>
      <w:sz w:val="36"/>
      <w:lang w:val="ru-RU" w:eastAsia="ru-RU" w:bidi="ar-SA"/>
    </w:rPr>
  </w:style>
  <w:style w:type="paragraph" w:styleId="909">
    <w:name w:val="Подзаголовок"/>
    <w:basedOn w:val="901"/>
    <w:next w:val="909"/>
    <w:link w:val="910"/>
    <w:qFormat/>
    <w:pPr>
      <w:pBdr/>
      <w:spacing w:after="0" w:line="240" w:lineRule="auto"/>
      <w:ind/>
      <w:jc w:val="center"/>
    </w:pPr>
    <w:rPr>
      <w:rFonts w:ascii="Jikharev" w:hAnsi="Jikharev" w:eastAsia="Times New Roman"/>
      <w:sz w:val="44"/>
      <w:szCs w:val="20"/>
      <w:lang w:eastAsia="ru-RU"/>
    </w:rPr>
  </w:style>
  <w:style w:type="character" w:styleId="910">
    <w:name w:val="Подзаголовок Знак"/>
    <w:next w:val="910"/>
    <w:link w:val="909"/>
    <w:pPr>
      <w:pBdr/>
      <w:spacing/>
      <w:ind/>
    </w:pPr>
    <w:rPr>
      <w:rFonts w:ascii="Jikharev" w:hAnsi="Jikharev"/>
      <w:sz w:val="44"/>
      <w:lang w:val="ru-RU" w:eastAsia="ru-RU" w:bidi="ar-SA"/>
    </w:rPr>
  </w:style>
  <w:style w:type="character" w:styleId="911">
    <w:name w:val="Гиперссылка"/>
    <w:next w:val="911"/>
    <w:link w:val="901"/>
    <w:unhideWhenUsed/>
    <w:pPr>
      <w:pBdr/>
      <w:spacing/>
      <w:ind/>
    </w:pPr>
    <w:rPr>
      <w:color w:val="0000ff"/>
      <w:u w:val="single"/>
    </w:rPr>
  </w:style>
  <w:style w:type="table" w:styleId="912">
    <w:name w:val="Сетка таблицы"/>
    <w:basedOn w:val="905"/>
    <w:next w:val="912"/>
    <w:link w:val="901"/>
    <w:pPr>
      <w:pBdr/>
      <w:spacing w:after="200" w:line="276" w:lineRule="auto"/>
      <w:ind/>
    </w:pPr>
    <w:tblPr>
      <w:tblW w:w="0" w:type="auto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913">
    <w:name w:val="Обычный (веб)"/>
    <w:basedOn w:val="901"/>
    <w:next w:val="913"/>
    <w:link w:val="901"/>
    <w:uiPriority w:val="99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14">
    <w:name w:val="apple-converted-space"/>
    <w:basedOn w:val="904"/>
    <w:next w:val="914"/>
    <w:link w:val="901"/>
    <w:pPr>
      <w:pBdr/>
      <w:spacing/>
      <w:ind/>
    </w:pPr>
  </w:style>
  <w:style w:type="character" w:styleId="915">
    <w:name w:val="Заголовок 1 Знак"/>
    <w:next w:val="915"/>
    <w:link w:val="902"/>
    <w:uiPriority w:val="9"/>
    <w:pPr>
      <w:pBdr/>
      <w:spacing/>
      <w:ind/>
    </w:pPr>
    <w:rPr>
      <w:b/>
      <w:bCs/>
      <w:sz w:val="48"/>
      <w:szCs w:val="48"/>
    </w:rPr>
  </w:style>
  <w:style w:type="paragraph" w:styleId="916">
    <w:name w:val="Стандартный HTML"/>
    <w:basedOn w:val="901"/>
    <w:next w:val="916"/>
    <w:link w:val="917"/>
    <w:pPr>
      <w:pBdr/>
      <w:tabs>
        <w:tab w:val="left" w:leader="none" w:pos="916"/>
        <w:tab w:val="left" w:leader="none" w:pos="1832"/>
        <w:tab w:val="left" w:leader="none" w:pos="2748"/>
        <w:tab w:val="left" w:leader="none" w:pos="3664"/>
        <w:tab w:val="left" w:leader="none" w:pos="4580"/>
        <w:tab w:val="left" w:leader="none" w:pos="5496"/>
        <w:tab w:val="left" w:leader="none" w:pos="6412"/>
        <w:tab w:val="left" w:leader="none" w:pos="7328"/>
        <w:tab w:val="left" w:leader="none" w:pos="8244"/>
        <w:tab w:val="left" w:leader="none" w:pos="9160"/>
        <w:tab w:val="left" w:leader="none" w:pos="10076"/>
        <w:tab w:val="left" w:leader="none" w:pos="10992"/>
        <w:tab w:val="left" w:leader="none" w:pos="11908"/>
        <w:tab w:val="left" w:leader="none" w:pos="12824"/>
        <w:tab w:val="left" w:leader="none" w:pos="13740"/>
        <w:tab w:val="left" w:leader="none" w:pos="14656"/>
      </w:tabs>
      <w:spacing w:after="0" w:line="240" w:lineRule="auto"/>
      <w:ind/>
    </w:pPr>
    <w:rPr>
      <w:rFonts w:ascii="Courier New" w:hAnsi="Courier New" w:eastAsia="Times New Roman"/>
      <w:sz w:val="20"/>
      <w:szCs w:val="20"/>
      <w:lang w:val="en-US" w:eastAsia="en-US"/>
    </w:rPr>
  </w:style>
  <w:style w:type="character" w:styleId="917">
    <w:name w:val="Стандартный HTML Знак"/>
    <w:next w:val="917"/>
    <w:link w:val="916"/>
    <w:pPr>
      <w:pBdr/>
      <w:spacing/>
      <w:ind/>
    </w:pPr>
    <w:rPr>
      <w:rFonts w:ascii="Courier New" w:hAnsi="Courier New" w:cs="Courier New"/>
    </w:rPr>
  </w:style>
  <w:style w:type="character" w:styleId="918">
    <w:name w:val="blk"/>
    <w:basedOn w:val="904"/>
    <w:next w:val="918"/>
    <w:link w:val="901"/>
    <w:pPr>
      <w:pBdr/>
      <w:spacing/>
      <w:ind/>
    </w:pPr>
  </w:style>
  <w:style w:type="paragraph" w:styleId="919">
    <w:name w:val="Абзац списка"/>
    <w:basedOn w:val="901"/>
    <w:next w:val="919"/>
    <w:link w:val="901"/>
    <w:uiPriority w:val="34"/>
    <w:qFormat/>
    <w:pPr>
      <w:pBdr/>
      <w:spacing/>
      <w:ind w:left="708"/>
    </w:pPr>
  </w:style>
  <w:style w:type="paragraph" w:styleId="920">
    <w:name w:val="Текст выноски"/>
    <w:basedOn w:val="901"/>
    <w:next w:val="920"/>
    <w:link w:val="921"/>
    <w:pPr>
      <w:pBdr/>
      <w:spacing w:after="0" w:line="240" w:lineRule="auto"/>
      <w:ind/>
    </w:pPr>
    <w:rPr>
      <w:rFonts w:ascii="Tahoma" w:hAnsi="Tahoma" w:cs="Tahoma"/>
      <w:sz w:val="16"/>
      <w:szCs w:val="16"/>
    </w:rPr>
  </w:style>
  <w:style w:type="character" w:styleId="921">
    <w:name w:val="Текст выноски Знак"/>
    <w:next w:val="921"/>
    <w:link w:val="920"/>
    <w:pPr>
      <w:pBdr/>
      <w:spacing/>
      <w:ind/>
    </w:pPr>
    <w:rPr>
      <w:rFonts w:ascii="Tahoma" w:hAnsi="Tahoma" w:eastAsia="Calibri" w:cs="Tahoma"/>
      <w:sz w:val="16"/>
      <w:szCs w:val="16"/>
      <w:lang w:eastAsia="en-US"/>
    </w:rPr>
  </w:style>
  <w:style w:type="character" w:styleId="922">
    <w:name w:val="Знак примечания"/>
    <w:next w:val="922"/>
    <w:link w:val="901"/>
    <w:pPr>
      <w:pBdr/>
      <w:spacing/>
      <w:ind/>
    </w:pPr>
    <w:rPr>
      <w:sz w:val="16"/>
      <w:szCs w:val="16"/>
    </w:rPr>
  </w:style>
  <w:style w:type="paragraph" w:styleId="923">
    <w:name w:val="Текст примечания"/>
    <w:basedOn w:val="901"/>
    <w:next w:val="923"/>
    <w:link w:val="924"/>
    <w:pPr>
      <w:pBdr/>
      <w:spacing/>
      <w:ind/>
    </w:pPr>
    <w:rPr>
      <w:sz w:val="20"/>
      <w:szCs w:val="20"/>
    </w:rPr>
  </w:style>
  <w:style w:type="character" w:styleId="924">
    <w:name w:val="Текст примечания Знак"/>
    <w:next w:val="924"/>
    <w:link w:val="923"/>
    <w:pPr>
      <w:pBdr/>
      <w:spacing/>
      <w:ind/>
    </w:pPr>
    <w:rPr>
      <w:rFonts w:ascii="Calibri" w:hAnsi="Calibri" w:eastAsia="Calibri"/>
      <w:lang w:eastAsia="en-US"/>
    </w:rPr>
  </w:style>
  <w:style w:type="paragraph" w:styleId="925">
    <w:name w:val="Тема примечания"/>
    <w:basedOn w:val="923"/>
    <w:next w:val="923"/>
    <w:link w:val="926"/>
    <w:pPr>
      <w:pBdr/>
      <w:spacing/>
      <w:ind/>
    </w:pPr>
    <w:rPr>
      <w:b/>
      <w:bCs/>
    </w:rPr>
  </w:style>
  <w:style w:type="character" w:styleId="926">
    <w:name w:val="Тема примечания Знак"/>
    <w:next w:val="926"/>
    <w:link w:val="925"/>
    <w:pPr>
      <w:pBdr/>
      <w:spacing/>
      <w:ind/>
    </w:pPr>
    <w:rPr>
      <w:rFonts w:ascii="Calibri" w:hAnsi="Calibri" w:eastAsia="Calibri"/>
      <w:b/>
      <w:bCs/>
      <w:lang w:eastAsia="en-US"/>
    </w:rPr>
  </w:style>
  <w:style w:type="character" w:styleId="927">
    <w:name w:val="Body text (2)_"/>
    <w:next w:val="927"/>
    <w:link w:val="901"/>
    <w:pPr>
      <w:pBdr/>
      <w:spacing/>
      <w:ind/>
    </w:pPr>
    <w:rPr>
      <w:rFonts w:ascii="Times New Roman" w:hAnsi="Times New Roman" w:eastAsia="Times New Roman" w:cs="Times New Roman"/>
      <w:sz w:val="20"/>
      <w:szCs w:val="20"/>
      <w:u w:val="none"/>
    </w:rPr>
  </w:style>
  <w:style w:type="character" w:styleId="928">
    <w:name w:val="Body text (2) + Bold"/>
    <w:next w:val="928"/>
    <w:link w:val="901"/>
    <w:pPr>
      <w:pBdr/>
      <w:spacing/>
      <w:ind/>
    </w:pPr>
    <w:rPr>
      <w:rFonts w:ascii="Times New Roman" w:hAnsi="Times New Roman" w:eastAsia="Times New Roman" w:cs="Times New Roman"/>
      <w:b/>
      <w:bCs/>
      <w:color w:val="000000"/>
      <w:spacing w:val="0"/>
      <w:position w:val="0"/>
      <w:sz w:val="20"/>
      <w:szCs w:val="20"/>
      <w:u w:val="none"/>
      <w:lang w:val="ru-RU" w:eastAsia="ru-RU" w:bidi="ru-RU"/>
    </w:rPr>
  </w:style>
  <w:style w:type="character" w:styleId="929">
    <w:name w:val="Body text (2)"/>
    <w:next w:val="929"/>
    <w:link w:val="901"/>
    <w:pPr>
      <w:pBdr/>
      <w:spacing/>
      <w:ind/>
    </w:pPr>
    <w:rPr>
      <w:rFonts w:ascii="Times New Roman" w:hAnsi="Times New Roman" w:eastAsia="Times New Roman" w:cs="Times New Roman"/>
      <w:color w:val="000000"/>
      <w:spacing w:val="0"/>
      <w:position w:val="0"/>
      <w:sz w:val="20"/>
      <w:szCs w:val="20"/>
      <w:u w:val="none"/>
      <w:lang w:val="ru-RU" w:eastAsia="ru-RU" w:bidi="ru-RU"/>
    </w:rPr>
  </w:style>
  <w:style w:type="character" w:styleId="930">
    <w:name w:val="Heading #1_"/>
    <w:next w:val="930"/>
    <w:link w:val="931"/>
    <w:pPr>
      <w:pBdr/>
      <w:spacing/>
      <w:ind/>
    </w:pPr>
    <w:rPr>
      <w:b/>
      <w:bCs/>
      <w:shd w:val="clear" w:color="auto" w:fill="ffffff"/>
    </w:rPr>
  </w:style>
  <w:style w:type="paragraph" w:styleId="931">
    <w:name w:val="Heading #1"/>
    <w:basedOn w:val="901"/>
    <w:next w:val="931"/>
    <w:link w:val="930"/>
    <w:pPr>
      <w:widowControl w:val="false"/>
      <w:pBdr/>
      <w:shd w:val="clear" w:color="auto" w:fill="ffffff"/>
      <w:spacing w:after="300" w:before="300" w:line="0" w:lineRule="atLeast"/>
      <w:ind w:hanging="380"/>
      <w:jc w:val="both"/>
      <w:outlineLvl w:val="0"/>
    </w:pPr>
    <w:rPr>
      <w:rFonts w:ascii="Times New Roman" w:hAnsi="Times New Roman" w:eastAsia="Times New Roman"/>
      <w:b/>
      <w:bCs/>
      <w:sz w:val="20"/>
      <w:szCs w:val="20"/>
      <w:lang w:eastAsia="ru-RU"/>
    </w:rPr>
  </w:style>
  <w:style w:type="numbering" w:styleId="932">
    <w:name w:val="Стиль1"/>
    <w:next w:val="932"/>
    <w:link w:val="901"/>
    <w:pPr>
      <w:numPr>
        <w:numId w:val="16"/>
      </w:numPr>
      <w:pBdr/>
      <w:spacing/>
      <w:ind/>
    </w:pPr>
  </w:style>
  <w:style w:type="paragraph" w:styleId="933">
    <w:name w:val="default"/>
    <w:basedOn w:val="901"/>
    <w:next w:val="933"/>
    <w:link w:val="901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34">
    <w:name w:val="Заголовок 3 Знак"/>
    <w:next w:val="934"/>
    <w:link w:val="903"/>
    <w:pPr>
      <w:pBdr/>
      <w:spacing/>
      <w:ind/>
    </w:pPr>
    <w:rPr>
      <w:sz w:val="24"/>
    </w:rPr>
  </w:style>
  <w:style w:type="character" w:styleId="935">
    <w:name w:val="Строгий"/>
    <w:next w:val="935"/>
    <w:link w:val="901"/>
    <w:uiPriority w:val="22"/>
    <w:qFormat/>
    <w:pPr>
      <w:pBdr/>
      <w:spacing/>
      <w:ind/>
    </w:pPr>
    <w:rPr>
      <w:b/>
      <w:bCs/>
    </w:rPr>
  </w:style>
  <w:style w:type="paragraph" w:styleId="936">
    <w:name w:val="Верхний колонтитул"/>
    <w:basedOn w:val="901"/>
    <w:next w:val="936"/>
    <w:link w:val="937"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937">
    <w:name w:val="Верхний колонтитул Знак"/>
    <w:next w:val="937"/>
    <w:link w:val="936"/>
    <w:pPr>
      <w:pBdr/>
      <w:spacing/>
      <w:ind/>
    </w:pPr>
    <w:rPr>
      <w:rFonts w:ascii="Calibri" w:hAnsi="Calibri" w:eastAsia="Calibri"/>
      <w:sz w:val="22"/>
      <w:szCs w:val="22"/>
      <w:lang w:eastAsia="en-US"/>
    </w:rPr>
  </w:style>
  <w:style w:type="paragraph" w:styleId="938">
    <w:name w:val="Нижний колонтитул"/>
    <w:basedOn w:val="901"/>
    <w:next w:val="938"/>
    <w:link w:val="939"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939">
    <w:name w:val="Нижний колонтитул Знак"/>
    <w:next w:val="939"/>
    <w:link w:val="938"/>
    <w:pPr>
      <w:pBdr/>
      <w:spacing/>
      <w:ind/>
    </w:pPr>
    <w:rPr>
      <w:rFonts w:ascii="Calibri" w:hAnsi="Calibri" w:eastAsia="Calibri"/>
      <w:sz w:val="22"/>
      <w:szCs w:val="22"/>
      <w:lang w:eastAsia="en-US"/>
    </w:rPr>
  </w:style>
  <w:style w:type="paragraph" w:styleId="940">
    <w:name w:val="Основной текст"/>
    <w:basedOn w:val="901"/>
    <w:next w:val="940"/>
    <w:link w:val="941"/>
    <w:pPr>
      <w:pBdr/>
      <w:spacing w:after="0" w:line="240" w:lineRule="auto"/>
      <w:ind/>
      <w:jc w:val="both"/>
    </w:pPr>
    <w:rPr>
      <w:rFonts w:ascii="Arial" w:hAnsi="Arial" w:eastAsia="Times New Roman"/>
      <w:sz w:val="16"/>
      <w:szCs w:val="20"/>
      <w:lang w:eastAsia="ru-RU"/>
    </w:rPr>
  </w:style>
  <w:style w:type="character" w:styleId="941">
    <w:name w:val="Основной текст Знак"/>
    <w:next w:val="941"/>
    <w:link w:val="940"/>
    <w:pPr>
      <w:pBdr/>
      <w:spacing/>
      <w:ind/>
    </w:pPr>
    <w:rPr>
      <w:rFonts w:ascii="Arial" w:hAnsi="Arial"/>
      <w:sz w:val="16"/>
    </w:rPr>
  </w:style>
  <w:style w:type="table" w:styleId="942">
    <w:name w:val="Сетка таблицы1"/>
    <w:basedOn w:val="905"/>
    <w:next w:val="912"/>
    <w:link w:val="901"/>
    <w:uiPriority w:val="39"/>
    <w:pPr>
      <w:pBdr/>
      <w:spacing/>
      <w:ind/>
    </w:pPr>
    <w:rPr>
      <w:rFonts w:ascii="Calibri" w:hAnsi="Calibri"/>
      <w:sz w:val="22"/>
      <w:szCs w:val="22"/>
      <w:lang w:eastAsia="en-US"/>
    </w:rPr>
    <w:tblPr>
      <w:tblW w:w="0" w:type="auto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knkamur.ru/dvizh/" TargetMode="External"/><Relationship Id="rId10" Type="http://schemas.openxmlformats.org/officeDocument/2006/relationships/hyperlink" Target="https://knkamur.ru/dvizh/" TargetMode="External"/><Relationship Id="rId11" Type="http://schemas.openxmlformats.org/officeDocument/2006/relationships/hyperlink" Target="https://knkamur.ru/dvizh/" TargetMode="External"/><Relationship Id="rId12" Type="http://schemas.openxmlformats.org/officeDocument/2006/relationships/hyperlink" Target="https://knkamur.ru/dvizh/" TargetMode="External"/><Relationship Id="rId13" Type="http://schemas.openxmlformats.org/officeDocument/2006/relationships/hyperlink" Target="https://knkamur.ru/dvizh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ONLYOFFICE/8.1.1.27</Application>
  <Company>Grizli777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Ольга</dc:creator>
  <cp:revision>58</cp:revision>
  <dcterms:created xsi:type="dcterms:W3CDTF">2023-11-09T01:16:00Z</dcterms:created>
  <dcterms:modified xsi:type="dcterms:W3CDTF">2025-03-26T00:22:32Z</dcterms:modified>
  <cp:version>917504</cp:version>
</cp:coreProperties>
</file>